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="宋体"/>
          <w:lang w:eastAsia="zh-CN"/>
        </w:rPr>
        <w:pict>
          <v:shape id="_x0000_s1026" o:spid="_x0000_s1026" o:spt="75" type="#_x0000_t75" style="position:absolute;left:0pt;margin-left:-257.1pt;margin-top:-72.4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迭代三项目设计文档</w:t>
                  </w:r>
                  <w:bookmarkEnd w:id="0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en-US" w:eastAsia="zh-CN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color w:val="7030A0"/>
                      <w:lang w:val="en-US" w:eastAsia="zh-CN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  <w:lang w:val="en-US" w:eastAsia="zh-CN"/>
                    </w:rPr>
                    <w:t>小组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color w:val="7030A0"/>
                      <w:lang w:val="en-US" w:eastAsia="zh-CN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引言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编写目的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本文档提供量化分析系统的软件架构概览，提供若干架构视图描述系统的不同方面，以便表示构造系统所需要的重要架构决策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对象与范围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本文档的读者是本团队内部开发人员和管理人员，用于指导下一循环的代码开发和测试工作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参考文献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名词与术语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系统的分层架构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系统划分为以下3个逻辑层次。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698115" cy="5591810"/>
            <wp:effectExtent l="0" t="0" r="0" b="0"/>
            <wp:docPr id="1" name="图片 1" descr="分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层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表示层：用于前台界面展示和配置的层次。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业务层：包含业务控制和逻辑的层次。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数据层：定义和存储系统中相关数据的层次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系统可以部署在以下3个物理层次。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3426460"/>
            <wp:effectExtent l="0" t="0" r="0" b="0"/>
            <wp:docPr id="4" name="图片 4" descr="物理层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物理层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 访问层：用于用户访问系统的层次。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 业务层：部署业务控制和逻辑的层次。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 数据层：部署和存储系统中相关数据的层次。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系统的架构设计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系统架构中的对象分为4类。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IScript对象，负责处理用户输入，发送数据。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IServlet对象，负责与浏览器建立连接，接收发送数据。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IService对象，负责提供服务的抽象接口。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IImpl对象，负责对与抽象接口的实现模块。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66820" cy="7328535"/>
            <wp:effectExtent l="0" t="0" r="0" b="0"/>
            <wp:docPr id="6" name="图片 6" descr="架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架构设计"/>
                    <pic:cNvPicPr>
                      <a:picLocks noChangeAspect="1"/>
                    </pic:cNvPicPr>
                  </pic:nvPicPr>
                  <pic:blipFill>
                    <a:blip r:embed="rId7"/>
                    <a:srcRect l="28504" t="52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接口ID</w:t>
            </w:r>
          </w:p>
        </w:tc>
        <w:tc>
          <w:tcPr>
            <w:tcW w:w="284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连接组件</w:t>
            </w:r>
          </w:p>
        </w:tc>
        <w:tc>
          <w:tcPr>
            <w:tcW w:w="2841" w:type="dxa"/>
            <w:gridSpan w:val="2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I1</w:t>
            </w:r>
          </w:p>
        </w:tc>
        <w:tc>
          <w:tcPr>
            <w:tcW w:w="2841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IScript与IServlet</w:t>
            </w: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Return（Result）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Interface（Request）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前置条件 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处理控制组件将任务提交，并且响应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不变量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I2</w:t>
            </w:r>
          </w:p>
        </w:tc>
        <w:tc>
          <w:tcPr>
            <w:tcW w:w="2841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IServlet与IService</w:t>
            </w: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Return（Result）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Interface（Request）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前置条件 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对应的IService执行相应的任务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不变量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用户请求信息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fortaa">
    <w:altName w:val="Segoe Print"/>
    <w:panose1 w:val="020F0603070000060003"/>
    <w:charset w:val="00"/>
    <w:family w:val="auto"/>
    <w:pitch w:val="default"/>
    <w:sig w:usb0="00000000" w:usb1="00000000" w:usb2="00000000" w:usb3="00000000" w:csb0="20000111" w:csb1="41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E83F"/>
    <w:multiLevelType w:val="singleLevel"/>
    <w:tmpl w:val="58C8E83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C8E9F6"/>
    <w:multiLevelType w:val="singleLevel"/>
    <w:tmpl w:val="58C8E9F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C930A3"/>
    <w:multiLevelType w:val="singleLevel"/>
    <w:tmpl w:val="58C930A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43773"/>
    <w:rsid w:val="2ECC49AA"/>
    <w:rsid w:val="54FD76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2017-06-13T04:57:51Z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