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华信·科技创新股权投资信托计划 - 信托清算报告</w:t>
      </w:r>
    </w:p>
    <w:p>
      <w:r>
        <w:t>华信金融信托有限公司</w:t>
        <w:br/>
        <w:t>信托清算报告</w:t>
      </w:r>
    </w:p>
    <w:p>
      <w:r>
        <w:t>信托计划名称：华信·科技创新股权投资信托计划</w:t>
        <w:br/>
        <w:t>编制日期：2024-06-10</w:t>
        <w:br/>
        <w:t>编制部门：信托业务部</w:t>
      </w:r>
    </w:p>
    <w:p>
      <w:r>
        <w:t>一、信托计划概况</w:t>
      </w:r>
    </w:p>
    <w:p>
      <w:r>
        <w:t>本信托计划由华信金融信托有限公司作为受托人，按照委托人意愿，以受托人名义对信托财产进行管理和处分。信托目的为通过专业化的资产管理，实现信托财产的保值增值。</w:t>
      </w:r>
    </w:p>
    <w:p>
      <w:r>
        <w:t>二、信托财产管理情况</w:t>
      </w:r>
    </w:p>
    <w:p>
      <w:r>
        <w:t>截至报告期末，信托财产总规模为18826万元，其中：</w:t>
        <w:br/>
        <w:t>- 贷款类资产：21585万元</w:t>
        <w:br/>
        <w:t>- 现金及银行存款：1788万元</w:t>
        <w:br/>
        <w:t>- 应收利息：317万元</w:t>
      </w:r>
    </w:p>
    <w:p>
      <w:r>
        <w:t>三、风险管理</w:t>
      </w:r>
    </w:p>
    <w:p>
      <w:r>
        <w:t>本报告期内，信托项目运行正常，融资方财务状况稳定，抵押物价值充足，各项风控措施执行到位。受托人已按照信托合同约定履行管理职责。</w:t>
      </w:r>
    </w:p>
    <w:p>
      <w:r>
        <w:t>四、合规情况</w:t>
      </w:r>
    </w:p>
    <w:p>
      <w:r>
        <w:t>本信托计划的管理运营符合《信托法》《信托公司管理办法》等法律法规要求，已按规定完成信息披露和监管报备。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