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 w:val="0"/>
        <w:spacing w:line="490" w:lineRule="exact" w:before="0" w:after="0"/>
        <w:ind w:right="0"/>
        <w:autoSpaceDE w:val="0"/>
        <w:autoSpaceDN w:val="0"/>
        <w:snapToGrid w:val="0"/>
        <w:tabs>
          <w:tab w:pos="1454" w:val="left"/>
        </w:tabs>
        <w:overflowPunct w:val="0"/>
      </w:pPr>
      <w:r>
        <w:rPr>
          <w:rFonts w:ascii="CV Microsoft YaHei Bold" w:hAnsi="CV Microsoft YaHei Bold" w:eastAsia="CV Microsoft YaHei Bold" w:cs="CV Microsoft YaHei Bold"/>
          <w:b w:val="0"/>
          <w:i w:val="0"/>
          <w:color w:val="A40000"/>
          <w:sz w:val="43"/>
          <w:lang w:val="en-US" w:eastAsia="zh-CN"/>
        </w:rPr>
        <w:t>王钰淞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30"/>
          <w:lang w:val="en-US" w:eastAsia="zh-CN"/>
        </w:rPr>
        <w:tab/>
        <w:t>Yusong Wang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6260592</wp:posOffset>
            </wp:positionH>
            <wp:positionV relativeFrom="page">
              <wp:posOffset>300228</wp:posOffset>
            </wp:positionV>
            <wp:extent cx="955547" cy="1437132"/>
            <wp:wrapNone/>
            <wp:docPr id="1" name="Picture 1" descr="王钰淞证件照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riginal-photo-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547" cy="14371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/>
        <w:keepLines/>
        <w:widowControl w:val="0"/>
        <w:spacing w:line="194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9"/>
          <w:lang w:val="en-US" w:eastAsia="zh-CN"/>
        </w:rPr>
        <w:t xml:space="preserve">(+86) 188 7714 5317 </w:t>
      </w:r>
      <w:r>
        <w:rPr>
          <w:rFonts w:ascii="Arial" w:hAnsi="Arial" w:eastAsia="Arial" w:cs="Arial"/>
          <w:b w:val="0"/>
          <w:i w:val="0"/>
          <w:color w:val="202020"/>
          <w:sz w:val="19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9"/>
          <w:lang w:val="en-US" w:eastAsia="zh-CN"/>
        </w:rPr>
        <w:t xml:space="preserve"> </w:t>
      </w:r>
      <w:hyperlink r:id="rId10">
        <w:r>
          <w:rPr>
            <w:rFonts w:ascii="CV Heiti SC Regular" w:hAnsi="CV Heiti SC Regular" w:eastAsia="CV Heiti SC Regular" w:cs="CV Heiti SC Regular"/>
            <w:b w:val="0"/>
            <w:i w:val="0"/>
            <w:color w:val="202020"/>
            <w:sz w:val="19"/>
            <w:lang w:val="en-US" w:eastAsia="zh-CN"/>
          </w:rPr>
          <w:t>ywang677@connect.hkust-gz.edu.cn</w:t>
        </w:r>
      </w:hyperlink>
    </w:p>
    <w:p>
      <w:pPr>
        <w:keepNext/>
        <w:keepLines/>
        <w:widowControl w:val="0"/>
        <w:spacing w:line="194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个人主页 </w:t>
      </w:r>
      <w:hyperlink r:id="rId11">
        <w:r>
          <w:rPr>
            <w:rFonts w:ascii="CV Heiti SC Bold" w:hAnsi="CV Heiti SC Bold" w:eastAsia="CV Heiti SC Bold" w:cs="CV Heiti SC Bold"/>
            <w:b w:val="0"/>
            <w:i w:val="0"/>
            <w:color w:val="202020"/>
            <w:sz w:val="19"/>
            <w:lang w:val="en-US" w:eastAsia="zh-CN"/>
          </w:rPr>
          <w:t>https://xjxl0104.github.io/</w:t>
        </w:r>
      </w:hyperlink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  </w:t>
      </w:r>
      <w:r>
        <w:rPr>
          <w:rFonts w:ascii="Arial" w:hAnsi="Arial" w:eastAsia="Arial" w:cs="Arial"/>
          <w:b/>
          <w:i w:val="0"/>
          <w:color w:val="202020"/>
          <w:sz w:val="19"/>
          <w:lang w:val="en-US" w:eastAsia="zh-CN"/>
        </w:rPr>
        <w:t>·</w:t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  GitHub </w:t>
      </w:r>
      <w:hyperlink r:id="rId12">
        <w:r>
          <w:rPr>
            <w:rFonts w:ascii="CV Heiti SC Bold" w:hAnsi="CV Heiti SC Bold" w:eastAsia="CV Heiti SC Bold" w:cs="CV Heiti SC Bold"/>
            <w:b w:val="0"/>
            <w:i w:val="0"/>
            <w:color w:val="202020"/>
            <w:sz w:val="19"/>
            <w:lang w:val="en-US" w:eastAsia="zh-CN"/>
          </w:rPr>
          <w:t>github.com/xjxl0104</w:t>
        </w:r>
      </w:hyperlink>
    </w:p>
    <w:p>
      <w:pPr>
        <w:pStyle w:val="Heading1"/>
        <w:keepNext/>
        <w:keepLines/>
        <w:widowControl w:val="0"/>
        <w:spacing w:line="290" w:lineRule="exact" w:before="268" w:after="0"/>
        <w:ind w:right="1690"/>
        <w:autoSpaceDE w:val="0"/>
        <w:autoSpaceDN w:val="0"/>
        <w:snapToGrid w:val="0"/>
        <w:overflowPunct w:val="0"/>
        <w:pBdr>
          <w:bottom w:val="single" w:sz="4" w:space="1" w:color="A40000"/>
        </w:pBdr>
      </w:pPr>
      <w:r>
        <w:rPr>
          <w:rFonts w:ascii="CV Heiti SC Bold" w:hAnsi="CV Heiti SC Bold" w:eastAsia="CV Heiti SC Bold" w:cs="CV Heiti SC Bold"/>
          <w:b w:val="0"/>
          <w:i w:val="0"/>
          <w:color w:val="A40000"/>
          <w:sz w:val="25"/>
          <w:lang w:val="en-US" w:eastAsia="zh-CN"/>
        </w:rPr>
        <w:t>教育背景</w:t>
      </w:r>
      <w:r>
        <w:rPr>
          <w:rFonts w:ascii="CV Heiti SC Regular" w:hAnsi="CV Heiti SC Regular" w:eastAsia="CV Heiti SC Regular" w:cs="CV Heiti SC Regular"/>
          <w:b w:val="0"/>
          <w:i w:val="0"/>
          <w:color w:val="777777"/>
          <w:sz w:val="16"/>
          <w:lang w:val="en-US" w:eastAsia="zh-CN"/>
        </w:rPr>
        <w:t xml:space="preserve">  Education</w:t>
      </w:r>
    </w:p>
    <w:p>
      <w:pPr>
        <w:keepNext/>
        <w:keepLines/>
        <w:widowControl w:val="0"/>
        <w:spacing w:line="20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香港科技大学（广州） </w:t>
      </w:r>
      <w:r>
        <w:rPr>
          <w:rFonts w:ascii="Arial" w:hAnsi="Arial" w:eastAsia="Arial" w:cs="Arial"/>
          <w:b/>
          <w:i w:val="0"/>
          <w:color w:val="202020"/>
          <w:sz w:val="19"/>
          <w:lang w:val="en-US" w:eastAsia="zh-CN"/>
        </w:rPr>
        <w:t>·</w:t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 计算机媒体与艺术 MPhil 研究型硕士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 2023.10 - 至今</w:t>
      </w:r>
    </w:p>
    <w:p>
      <w:pPr>
        <w:keepNext/>
        <w:keepLines/>
        <w:widowControl w:val="0"/>
        <w:spacing w:line="180" w:lineRule="exact" w:before="0" w:after="0"/>
        <w:ind w:right="169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>课程：媒体艺术与遗产中的新兴技术、实验性 3D 渲染与运动、视觉传达、机器学习、AR/VR/MR/XR</w:t>
      </w:r>
    </w:p>
    <w:p>
      <w:pPr>
        <w:keepNext/>
        <w:keepLines/>
        <w:widowControl w:val="0"/>
        <w:spacing w:line="20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广西大学 </w:t>
      </w:r>
      <w:r>
        <w:rPr>
          <w:rFonts w:ascii="Arial" w:hAnsi="Arial" w:eastAsia="Arial" w:cs="Arial"/>
          <w:b/>
          <w:i w:val="0"/>
          <w:color w:val="202020"/>
          <w:sz w:val="19"/>
          <w:lang w:val="en-US" w:eastAsia="zh-CN"/>
        </w:rPr>
        <w:t>·</w:t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 电气工程及其自动化 学士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 2016.09 - 2020.07</w:t>
      </w:r>
    </w:p>
    <w:p>
      <w:pPr>
        <w:keepNext/>
        <w:keepLines/>
        <w:widowControl w:val="0"/>
        <w:spacing w:line="180" w:lineRule="exact" w:before="0" w:after="0"/>
        <w:ind w:right="169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>课程：电路、模拟 / 数字电子技术、C 语言、自动控制原理</w:t>
      </w:r>
    </w:p>
    <w:p>
      <w:pPr>
        <w:pStyle w:val="Heading1"/>
        <w:keepNext/>
        <w:keepLines/>
        <w:widowControl w:val="0"/>
        <w:spacing w:line="290" w:lineRule="exact" w:before="134" w:after="0"/>
        <w:ind w:right="0"/>
        <w:autoSpaceDE w:val="0"/>
        <w:autoSpaceDN w:val="0"/>
        <w:snapToGrid w:val="0"/>
        <w:overflowPunct w:val="0"/>
        <w:pBdr>
          <w:bottom w:val="single" w:sz="4" w:space="1" w:color="A40000"/>
        </w:pBdr>
      </w:pPr>
      <w:r>
        <w:rPr>
          <w:rFonts w:ascii="CV Heiti SC Bold" w:hAnsi="CV Heiti SC Bold" w:eastAsia="CV Heiti SC Bold" w:cs="CV Heiti SC Bold"/>
          <w:b w:val="0"/>
          <w:i w:val="0"/>
          <w:color w:val="A40000"/>
          <w:sz w:val="25"/>
          <w:lang w:val="en-US" w:eastAsia="zh-CN"/>
        </w:rPr>
        <w:t>项目经历</w:t>
      </w:r>
      <w:r>
        <w:rPr>
          <w:rFonts w:ascii="CV Heiti SC Regular" w:hAnsi="CV Heiti SC Regular" w:eastAsia="CV Heiti SC Regular" w:cs="CV Heiti SC Regular"/>
          <w:b w:val="0"/>
          <w:i w:val="0"/>
          <w:color w:val="777777"/>
          <w:sz w:val="16"/>
          <w:lang w:val="en-US" w:eastAsia="zh-CN"/>
        </w:rPr>
        <w:t xml:space="preserve">  Project Experience</w:t>
      </w:r>
    </w:p>
    <w:p>
      <w:pPr>
        <w:keepNext/>
        <w:keepLines/>
        <w:widowControl w:val="0"/>
        <w:spacing w:line="20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>多模态 RAG 与遗产知识图谱平台（HeritageExplorer）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 2024.04 - 至今</w:t>
      </w:r>
    </w:p>
    <w:p>
      <w:pPr>
        <w:keepNext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>Python / FastAPI / Neo4j / Dify / BGE / Chinese-CLIP / Grounding DINO / Vue 3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构建面向历史建筑的多模态知识底座。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整合广西 14 个地级市、2,036 处建筑与 9,636 个构件，按 9 类节点组织 Neo4j 实体关系；建立 BGE 文本、CLIP 建筑图像及构件向量索引，支持文字、图片与建筑构件之间的关联检索。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设计图谱增强的四路融合检索。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并行召回关键词、BGE 文本向量、CLIP 建筑图像与构件匹配结果，加权排序后作为 DeepSeek-V3 的回答上下文；结合 PDF 段落检索，为回答提供建筑记录和文献片段依据。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统一多模态工具接口与规则意图路由。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封装文搜建筑、文搜构件、图搜建筑、图搜构件、智能问答 5 类 FastAPI 接口；根据输入关键词与图片载荷分发请求，处理无结果及服务异常反馈，将查询结果关联至地图与建筑详情。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打通“检索—问答—可视化探索”交互链路。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基于 Vue 3 + Pinia 管理对话与查询状态，使用 Mars2D 展示 1,294 处建筑坐标、vis-network 渲染建筑与构件关系，支持从检索结果继续查看图谱、图片及构件详情；相关研究以第一作者发表于 VINCI 2025。</w:t>
      </w:r>
    </w:p>
    <w:p>
      <w:pPr>
        <w:keepNext/>
        <w:keepLines/>
        <w:widowControl w:val="0"/>
        <w:spacing w:line="20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企业 AI 原生业务系统矩阵 </w:t>
      </w:r>
      <w:r>
        <w:rPr>
          <w:rFonts w:ascii="Arial" w:hAnsi="Arial" w:eastAsia="Arial" w:cs="Arial"/>
          <w:b/>
          <w:i w:val="0"/>
          <w:color w:val="202020"/>
          <w:sz w:val="19"/>
          <w:lang w:val="en-US" w:eastAsia="zh-CN"/>
        </w:rPr>
        <w:t>·</w:t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 独立负责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 2026.05 - 至今</w:t>
      </w:r>
    </w:p>
    <w:p>
      <w:pPr>
        <w:keepNext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>Claude Code / Codex / 多 Agent 协作 / Java / Node 22 / Python / Vue 3 / React / MySQL / PostgreSQL / SQLite / Docker / n8n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以 Coding Agent 为主力，独立交付企业系统矩阵。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覆盖园区运营、企业管理、财务、人资、运维与 AI 基础设施，独立承担调研、需求澄清、设计评审、实现、测试、部署与运维；主力 16 个 Git 仓库、累计约 2,800 次提交，15 个项目经统一门户分组对内提供服务。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建立 Claude Code 团队协作开发规范。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按“宪法—路由—Skills—Hooks 门禁—注册表与评测”五层组织规则，任务先路由再按需加载上下文；推行“需求摘要→设计文档 / ADR→设计评审→拆票实现→真测验证→独立盲审”流程，主代理负责规划与集成，子代理在独立 worktree 按模块并行，Hooks 拦截危险命令并在结束前强制类型检查。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搭建 AI 中台 LLM 网关（ai-hub）。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零依赖 Node 22 常驻服务，作为全部业务系统唯一的大模型出口：为 18 个系统签发独立 Key，统一模型别名路由、9 类引擎探活巡检、逐笔调用与费用记账、钱包续航测算及 Bark 告警，并将 Claude Code / Codex / Gemini CLI 订阅通道封装为统一接口；管理台展示花费趋势、失败率、响应中位数与“系统→引擎”费用流向。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统一入口、自建部署与运维监控。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设计门户 + SSO，为 24 个系统、29 个子域名提供统一入口，按“人 × 系统”授权、点卡片免二次登录，并保留原登录方式可灰度回退；两台 Mac 自建服务器经 Cloudflare Tunnel 对外，PR 合并后定时拉取发布；Ops Monitor 监控 27 个服务入口、23 个 n8n 定时任务及数据库、工作区、Time Machine 三条备份链路。</w:t>
      </w:r>
    </w:p>
    <w:p>
      <w:pPr>
        <w:keepNext/>
        <w:keepLines/>
        <w:widowControl w:val="0"/>
        <w:spacing w:line="20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>智慧云仓管理系统（DIPARK）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 2026.07 - 至今</w:t>
      </w:r>
    </w:p>
    <w:p>
      <w:pPr>
        <w:keepNext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>Claude Code / Skills / Hooks / CodeGraph / Java 17 / Spring Boot 3 / MyBatis-Plus / MySQL 8 / Flyway / Vue 3 / Docker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以 Agent 分工推进全栈系统开发。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覆盖“楼宇房源—招商—租客—合同—账单—物业—设备—数据大屏”园区运营主链路，14 个一级导航、Flyway V1–V33 迁移，运营总览以 3D 楼宇模型叠加出租率、收缴、工单与安防点位。主代理承担规划、复杂业务与审查集成，子代理按模块并行实现标准 CRUD，共享路由、菜单和公共类集中集成，按批完成编译、构建与接口冒烟验证。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组织可接续的项目上下文与开发规范。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使用 CLAUDE.md、代码样板、模块地图与记忆文档保存业务约束和排错记录；通过 Skills 复用开发与审查流程，借助 CodeGraph 查询调用链与影响范围；配置 SessionStart hook 检查远端代码、未提交改动及分支状态，支持跨会话接续开发。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落地“招商—合同—账单—收款”业务闭环。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合同审批后锁定房源并生成周期账单，覆盖免租期和保证金；采用流水号唯一约束实现收款幂等，以条件 UPDATE 控制关键状态流转，并通过领域事件衔接合同、账单、工单与告警。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完成数据导入、权限安全与部署交付。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实现 Excel 应收数据预览、主数据绑定、AES-GCM 账户加密及规则分账，接入 JWT 登录与 RBAC 授权；为计费、权限、加密和迁移编写测试，验证干净库与升级库迁移，使用 Docker Compose 组织部署。</w:t>
      </w:r>
    </w:p>
    <w:p>
      <w:pPr>
        <w:keepNext/>
        <w:keepLines/>
        <w:widowControl w:val="0"/>
        <w:spacing w:line="20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园区售卖机 ERP 与租赁业务系统 </w:t>
      </w:r>
      <w:r>
        <w:rPr>
          <w:rFonts w:ascii="Arial" w:hAnsi="Arial" w:eastAsia="Arial" w:cs="Arial"/>
          <w:b/>
          <w:i w:val="0"/>
          <w:color w:val="202020"/>
          <w:sz w:val="19"/>
          <w:lang w:val="en-US" w:eastAsia="zh-CN"/>
        </w:rPr>
        <w:t>·</w:t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 业财一体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 2026.08 - 至今</w:t>
      </w:r>
    </w:p>
    <w:p>
      <w:pPr>
        <w:keepNext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>Spring Boot 2.7 / MyBatis-Plus / Flyway / MySQL 8 / Vue 3 / Element Plus / ECharts / 进销存 / 补货算法 / BI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售卖机 ERP 从轻量设想扩展为完整进销存系统。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4 个里程碑交付 40 张表、22 个后端模块、20 个页面与 347 例自动化测试（0 失败）；实现两级库存、(R,S) 补货引擎、配货核销、盘点自愈、红冲锁账与应付结算；5,135 行历史流水导入分毫不差，老账毛利误差 −0.40% 且逐 SKU 归因。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以穿行审计与独立盲审守住质量。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14 个业务穿行场景全部写成自动化回归，留存 44 份逐票验收证据；每个里程碑执行独立代码盲审，修复并发重复记账、路径穿越、核销恒为 0 等 9 个 P0 问题。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主导租赁业务板块开发。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43 张表、25 个后端模块、19 个页面：报价器按 IRR 与税后回报测算并与设立方案对平，签约自动生成租金计划并完成勾稽，设备 7 态状态机与配件 BOM，客户信用画像与服务端数据隔离（越权返回 403）。</w:t>
      </w:r>
    </w:p>
    <w:p>
      <w:pPr>
        <w:keepNext/>
        <w:keepLines/>
        <w:widowControl w:val="0"/>
        <w:spacing w:line="20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知人 </w:t>
      </w:r>
      <w:r>
        <w:rPr>
          <w:rFonts w:ascii="Arial" w:hAnsi="Arial" w:eastAsia="Arial" w:cs="Arial"/>
          <w:b/>
          <w:i w:val="0"/>
          <w:color w:val="202020"/>
          <w:sz w:val="19"/>
          <w:lang w:val="en-US" w:eastAsia="zh-CN"/>
        </w:rPr>
        <w:t>·</w:t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 AI 人资中枢与 AI 招聘系统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 2026.08 - 至今</w:t>
      </w:r>
    </w:p>
    <w:p>
      <w:pPr>
        <w:keepNext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>Spring Boot 2.7 / Sa-Token / Flyway / Vue 3 + TypeScript / Node 22 / tRPC / Drizzle / PostgreSQL + pgvector / 钉钉开放平台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合并人力资源、学院培训与招聘三套系统。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按“岗—招—入—管—育—留—离”重构员工全生命周期并与钉钉组织架构同步；员工信息变更统一投递员工事件，AI 写操作落成待人确认的流程，LLM 只经 AI 中台调用；后端全量 1,367 例测试通过。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设计 AI 招聘系统“招得快”。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Node 22 + tRPC + Drizzle + PostgreSQL / pgvector 的 monorepo，HR 后台与候选人 H5 共用 zod 契约；表驱动状态机与审批引擎串起岗位设计、简历解析、筛选、面试与 Offer，简历先做 PII 脱敏再交给模型。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处理线上稳定性问题。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定位服务容器被全局 OOM 反复终止、钉钉同步因家宽出口 IP 漂移中断等问题，通过 OOM 优先级与内存上限、构建堆封顶及同步失败告警修复；以“里程碑分支 + PR + 盲审 + 合并即部署”持续交付。</w:t>
      </w:r>
    </w:p>
    <w:p>
      <w:pPr>
        <w:keepNext/>
        <w:keepLines/>
        <w:widowControl w:val="0"/>
        <w:spacing w:line="20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>其他独立交付项目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 2026.05 - 至今</w:t>
      </w:r>
    </w:p>
    <w:p>
      <w:pPr>
        <w:keepNext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>Node / FastAPI / SQLite / Supabase / Expo / PWA / Tailscale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财务中心：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零依赖 Node 服务接入门户登录，上线资金日报生成、银行流水转凭证、对账核对与日损益速算 4 个工具。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AI 用量中台：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FastAPI + SQLite，客户端采集 Claude Code、Codex、Gemini CLI 与 WorkBuddy 的用量元数据（不上传对话与代码），统一套餐账号、额度与备用金台账。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资产罗盘 / 洪源润收藏管家 / 火星账局：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家庭“数字家办” H5/PWA（资产、负债、现金流与风险一屏可见）；Expo + Supabase 三端多品类藏品管理（131 项测试）；iPhone 优先的一句话记账 PWA，经 Tailscale 私网 HTTPS 访问并每日备份 SQLite。</w:t>
      </w:r>
    </w:p>
    <w:p>
      <w:pPr>
        <w:keepNext/>
        <w:keepLines/>
        <w:widowControl w:val="0"/>
        <w:spacing w:line="20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>危化品云联动平台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 2020.08 - 2022.08</w:t>
      </w:r>
    </w:p>
    <w:p>
      <w:pPr>
        <w:keepNext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上海市科委项目 19511102801 </w:t>
      </w:r>
      <w:r>
        <w:rPr>
          <w:rFonts w:ascii="Arial" w:hAnsi="Arial" w:eastAsia="Arial" w:cs="Arial"/>
          <w:b w:val="0"/>
          <w:i/>
          <w:color w:val="777777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多传感器融合 / 图像辅助识别 / 嵌入式采集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参与危化品仓库感知系统设计。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围绕温湿度、甲烷、消防水压及火警信号等数据采集需求，支持仓库安全状态实时监测与报警。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参与智能网关硬件与 STM32 采集程序开发。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集成开关量、模拟量、RS232/485、LTE、LoRa、WiFi 和以太网接口，使用 ADC 多通道采样、DMA 传输与协议解析完成传感数据采集上传，并通过无线通信与 TCP 数据帧接入云平台。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参与现场部署与云平台联调。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配合完成消防设备基础数据录入、网关与传感器安装接线及样机测试，实现设备状态、报警事件、历史记录与地图概览展示。</w:t>
      </w:r>
    </w:p>
    <w:p>
      <w:pPr>
        <w:pStyle w:val="Heading1"/>
        <w:keepNext/>
        <w:keepLines/>
        <w:widowControl w:val="0"/>
        <w:spacing w:line="290" w:lineRule="exact" w:before="115" w:after="0"/>
        <w:ind w:right="0"/>
        <w:autoSpaceDE w:val="0"/>
        <w:autoSpaceDN w:val="0"/>
        <w:snapToGrid w:val="0"/>
        <w:overflowPunct w:val="0"/>
        <w:pBdr>
          <w:bottom w:val="single" w:sz="4" w:space="1" w:color="A40000"/>
        </w:pBdr>
      </w:pPr>
      <w:r>
        <w:rPr>
          <w:rFonts w:ascii="CV Heiti SC Bold" w:hAnsi="CV Heiti SC Bold" w:eastAsia="CV Heiti SC Bold" w:cs="CV Heiti SC Bold"/>
          <w:b w:val="0"/>
          <w:i w:val="0"/>
          <w:color w:val="A40000"/>
          <w:sz w:val="25"/>
          <w:lang w:val="en-US" w:eastAsia="zh-CN"/>
        </w:rPr>
        <w:t>工作经历</w:t>
      </w:r>
      <w:r>
        <w:rPr>
          <w:rFonts w:ascii="CV Heiti SC Regular" w:hAnsi="CV Heiti SC Regular" w:eastAsia="CV Heiti SC Regular" w:cs="CV Heiti SC Regular"/>
          <w:b w:val="0"/>
          <w:i w:val="0"/>
          <w:color w:val="777777"/>
          <w:sz w:val="16"/>
          <w:lang w:val="en-US" w:eastAsia="zh-CN"/>
        </w:rPr>
        <w:t xml:space="preserve">  Experience</w:t>
      </w:r>
    </w:p>
    <w:p>
      <w:pPr>
        <w:keepNext/>
        <w:keepLines/>
        <w:widowControl w:val="0"/>
        <w:spacing w:line="20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中国科学院上海微系统与信息技术研究所 </w:t>
      </w:r>
      <w:r>
        <w:rPr>
          <w:rFonts w:ascii="Arial" w:hAnsi="Arial" w:eastAsia="Arial" w:cs="Arial"/>
          <w:b/>
          <w:i w:val="0"/>
          <w:color w:val="202020"/>
          <w:sz w:val="19"/>
          <w:lang w:val="en-US" w:eastAsia="zh-CN"/>
        </w:rPr>
        <w:t>·</w:t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9"/>
          <w:lang w:val="en-US" w:eastAsia="zh-CN"/>
        </w:rPr>
        <w:t xml:space="preserve"> 嵌入式工程师</w:t>
      </w:r>
      <w:r>
        <w:rPr>
          <w:rFonts w:ascii="CV Heiti SC Regular" w:hAnsi="CV Heiti SC Regular" w:eastAsia="CV Heiti SC Regular" w:cs="CV Heiti SC Regular"/>
          <w:b w:val="0"/>
          <w:i/>
          <w:color w:val="777777"/>
          <w:sz w:val="16"/>
          <w:lang w:val="en-US" w:eastAsia="zh-CN"/>
        </w:rPr>
        <w:t xml:space="preserve">  2020.08 - 2022.10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负责无线水压表与网关核心产品维护，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覆盖原理图设计、单片机固件、样机测试与现场部署；实现自适应速率/功率与 CSMA/CA 通信机制，参与上海市科委项目 19DZ12020027。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参与消防感知、LoRa 无线测力与客流检测项目，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根据现场信号质量调整网关布设与通信方案，配合完成虹桥火车站蓝牙客流检测及热力图展示，将采集、传输与可视化需求转化为可部署方案。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沉淀技术文档并参与团体标准、企业标准起草，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配合数据库接入与前端可视化联调，支持产品维护、方案复用和项目交付。</w:t>
      </w:r>
    </w:p>
    <w:p>
      <w:pPr>
        <w:pStyle w:val="Heading1"/>
        <w:keepNext/>
        <w:keepLines/>
        <w:widowControl w:val="0"/>
        <w:spacing w:line="290" w:lineRule="exact" w:before="140" w:after="0"/>
        <w:ind w:right="0"/>
        <w:autoSpaceDE w:val="0"/>
        <w:autoSpaceDN w:val="0"/>
        <w:snapToGrid w:val="0"/>
        <w:overflowPunct w:val="0"/>
        <w:pBdr>
          <w:bottom w:val="single" w:sz="4" w:space="1" w:color="A40000"/>
        </w:pBdr>
      </w:pPr>
      <w:r>
        <w:rPr>
          <w:rFonts w:ascii="CV Heiti SC Bold" w:hAnsi="CV Heiti SC Bold" w:eastAsia="CV Heiti SC Bold" w:cs="CV Heiti SC Bold"/>
          <w:b w:val="0"/>
          <w:i w:val="0"/>
          <w:color w:val="A40000"/>
          <w:sz w:val="25"/>
          <w:lang w:val="en-US" w:eastAsia="zh-CN"/>
        </w:rPr>
        <w:t>论文、知识产权与荣誉</w:t>
      </w:r>
      <w:r>
        <w:rPr>
          <w:rFonts w:ascii="CV Heiti SC Regular" w:hAnsi="CV Heiti SC Regular" w:eastAsia="CV Heiti SC Regular" w:cs="CV Heiti SC Regular"/>
          <w:b w:val="0"/>
          <w:i w:val="0"/>
          <w:color w:val="777777"/>
          <w:sz w:val="16"/>
          <w:lang w:val="en-US" w:eastAsia="zh-CN"/>
        </w:rPr>
        <w:t xml:space="preserve">  Publications &amp; IP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VINCI 2025（一作）HeritageExplorer，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DOI: 10.1145/3769534.3769571：面向多模态建筑遗产探索的交互式可视化与对话系统，结合地图浏览、语义检索、图谱关系查询与 LLM 问答。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CHI 2025（合作者）GenColor，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DOI: 10.1145/3706598.3713418：参与生成式颜色与概念关联研究，探索通过文生图、文本引导分割与颜色提取生成符合具体语境的设计配色。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发明专利 4 项：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危化品云联动平台开发 / 光伏故障诊断方法 / 光伏电站监控系统 / 异常定位方法。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软件著作权 1 项：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光伏数据展示系统。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第五届中国“互联网+”大学生创新创业大赛 全国铜奖：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开发基于物联网的光伏系统智能运维平台，对光伏电站运行数据进行分析，支持运行状态监测、故障识别与维修辅助决策。</w:t>
      </w:r>
    </w:p>
    <w:p>
      <w:pPr>
        <w:keepNext w:val="0"/>
        <w:keepLines/>
        <w:widowControl w:val="0"/>
        <w:spacing w:line="180" w:lineRule="exact" w:before="0" w:after="0"/>
        <w:ind w:right="0" w:left="180" w:hanging="180"/>
        <w:autoSpaceDE w:val="0"/>
        <w:autoSpaceDN w:val="0"/>
        <w:snapToGrid w:val="0"/>
        <w:tabs>
          <w:tab w:pos="180" w:val="left"/>
        </w:tabs>
        <w:overflowPunct w:val="0"/>
      </w:pPr>
      <w:r>
        <w:rPr>
          <w:rFonts w:ascii="Arial" w:hAnsi="Arial"/>
          <w:color w:val="A40000"/>
          <w:sz w:val="16"/>
        </w:rPr>
        <w:t>•</w:t>
        <w:tab/>
      </w:r>
      <w:r>
        <w:rPr>
          <w:rFonts w:ascii="CV Heiti SC Bold" w:hAnsi="CV Heiti SC Bold" w:eastAsia="CV Heiti SC Bold" w:cs="CV Heiti SC Bold"/>
          <w:b w:val="0"/>
          <w:i w:val="0"/>
          <w:color w:val="202020"/>
          <w:sz w:val="16"/>
          <w:lang w:val="en-US" w:eastAsia="zh-CN"/>
        </w:rPr>
        <w:t>第三届与第四届中国“互联网+”大学生创新创业大赛 区银奖/金奖：</w:t>
      </w:r>
      <w:r>
        <w:rPr>
          <w:rFonts w:ascii="CV Heiti SC Regular" w:hAnsi="CV Heiti SC Regular" w:eastAsia="CV Heiti SC Regular" w:cs="CV Heiti SC Regular"/>
          <w:b w:val="0"/>
          <w:i w:val="0"/>
          <w:color w:val="202020"/>
          <w:sz w:val="16"/>
          <w:lang w:val="en-US" w:eastAsia="zh-CN"/>
        </w:rPr>
        <w:t>完成基于物联网的智慧农业管理平台，支持果园环境与图像数据采集、病虫害检测及反馈。</w:t>
      </w:r>
    </w:p>
    <w:p>
      <w:pPr>
        <w:pStyle w:val="Heading1"/>
        <w:keepNext/>
        <w:keepLines/>
        <w:widowControl w:val="0"/>
        <w:spacing w:line="290" w:lineRule="exact" w:before="133" w:after="0"/>
        <w:ind w:right="0"/>
        <w:autoSpaceDE w:val="0"/>
        <w:autoSpaceDN w:val="0"/>
        <w:snapToGrid w:val="0"/>
        <w:overflowPunct w:val="0"/>
        <w:pBdr>
          <w:bottom w:val="single" w:sz="4" w:space="1" w:color="A40000"/>
        </w:pBdr>
      </w:pPr>
      <w:r>
        <w:rPr>
          <w:rFonts w:ascii="CV Heiti SC Bold" w:hAnsi="CV Heiti SC Bold" w:eastAsia="CV Heiti SC Bold" w:cs="CV Heiti SC Bold"/>
          <w:b w:val="0"/>
          <w:i w:val="0"/>
          <w:color w:val="A40000"/>
          <w:sz w:val="25"/>
          <w:lang w:val="en-US" w:eastAsia="zh-CN"/>
        </w:rPr>
        <w:t>技术栈</w:t>
      </w:r>
      <w:r>
        <w:rPr>
          <w:rFonts w:ascii="CV Heiti SC Regular" w:hAnsi="CV Heiti SC Regular" w:eastAsia="CV Heiti SC Regular" w:cs="CV Heiti SC Regular"/>
          <w:b w:val="0"/>
          <w:i w:val="0"/>
          <w:color w:val="777777"/>
          <w:sz w:val="16"/>
          <w:lang w:val="en-US" w:eastAsia="zh-CN"/>
        </w:rPr>
        <w:t xml:space="preserve">  Skills</w:t>
      </w:r>
    </w:p>
    <w:p>
      <w:pPr>
        <w:keepNext w:val="0"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Agent / 协作：Claude Code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Codex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子代理并行与 worktree 隔离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Skills / Hooks / MCP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CodeGraph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ADR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设计评审与独立盲审</w:t>
      </w:r>
    </w:p>
    <w:p>
      <w:pPr>
        <w:keepNext w:val="0"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LLM / RAG：LLM 网关 / 多模型路由 / 计费治理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Dify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图谱增强检索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多路融合召回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BGE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Chinese-CLIP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Grounding DINO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pgvector</w:t>
      </w:r>
    </w:p>
    <w:p>
      <w:pPr>
        <w:keepNext w:val="0"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Python / Node：Python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FastAPI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Neo4j / Cypher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Node 22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Express / tRPC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Drizzle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SQLite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Supabase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REST API</w:t>
      </w:r>
    </w:p>
    <w:p>
      <w:pPr>
        <w:keepNext w:val="0"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Java / 后端：Java 17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Spring Boot 2.7 / 3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MyBatis-Plus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MySQL 8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PostgreSQL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Redis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Flyway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JWT / Sa-Token / RBAC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领域事件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JUnit</w:t>
      </w:r>
    </w:p>
    <w:p>
      <w:pPr>
        <w:keepNext w:val="0"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Frontend / GIS：Vue 3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React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TypeScript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Vite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Pinia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Element Plus / AntD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ECharts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vis-network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Mars2D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Cesium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Expo / PWA</w:t>
      </w:r>
    </w:p>
    <w:p>
      <w:pPr>
        <w:keepNext w:val="0"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DevOps：Docker Compose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Nginx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Cloudflare Tunnel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Tailscale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launchd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n8n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Uptime Kuma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自动拉取发布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备份与恢复演练</w:t>
      </w:r>
    </w:p>
    <w:p>
      <w:pPr>
        <w:keepNext w:val="0"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Embedded / Tools：C/C++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STM32 / 固件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LoRa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CSMA/CA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Altium Designer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SolidWorks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Photoshop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Blender</w:t>
      </w:r>
    </w:p>
    <w:p>
      <w:pPr>
        <w:keepNext w:val="0"/>
        <w:keepLines/>
        <w:widowControl w:val="0"/>
        <w:spacing w:line="180" w:lineRule="exact" w:before="0" w:after="0"/>
        <w:ind w:right="0"/>
        <w:autoSpaceDE w:val="0"/>
        <w:autoSpaceDN w:val="0"/>
        <w:snapToGrid w:val="0"/>
        <w:overflowPunct w:val="0"/>
      </w:pP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语言：中文 </w:t>
      </w:r>
      <w:r>
        <w:rPr>
          <w:rFonts w:ascii="Arial" w:hAnsi="Arial" w:eastAsia="Arial" w:cs="Arial"/>
          <w:b w:val="0"/>
          <w:i w:val="0"/>
          <w:color w:val="666666"/>
          <w:sz w:val="16"/>
          <w:lang w:val="en-US" w:eastAsia="zh-CN"/>
        </w:rPr>
        <w:t>·</w:t>
      </w:r>
      <w:r>
        <w:rPr>
          <w:rFonts w:ascii="CV Heiti SC Regular" w:hAnsi="CV Heiti SC Regular" w:eastAsia="CV Heiti SC Regular" w:cs="CV Heiti SC Regular"/>
          <w:b w:val="0"/>
          <w:i w:val="0"/>
          <w:color w:val="666666"/>
          <w:sz w:val="16"/>
          <w:lang w:val="en-US" w:eastAsia="zh-CN"/>
        </w:rPr>
        <w:t xml:space="preserve"> 英语 CET-6 / IELTS 6.5</w:t>
      </w:r>
    </w:p>
    <w:sectPr w:rsidR="00FC693F" w:rsidRPr="0006063C" w:rsidSect="00034616">
      <w:pgSz w:w="12240" w:h="15840"/>
      <w:pgMar w:top="640" w:right="878" w:bottom="876" w:left="89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V DengXian Regular">
    <w:family w:val="swiss"/>
    <w:embedRegular r:id="rIdFont1" w:fontKey="{1F588481-C69F-5D27-A03F-B2D29F0ABD66}" w:subsetted="1"/>
  </w:font>
  <w:font w:name="CV DengXian Bold">
    <w:family w:val="swiss"/>
    <w:embedRegular r:id="rIdFont2" w:fontKey="{AE57F2B0-45B8-54C7-9669-BF8A60276DBB}" w:subsetted="1"/>
  </w:font>
  <w:font w:name="CV Microsoft YaHei Bold">
    <w:family w:val="swiss"/>
    <w:embedRegular r:id="rIdFont3" w:fontKey="{4F287706-D006-5BA5-AC28-8CA58F3B287B}" w:subsetted="1"/>
  </w:font>
  <w:font w:name="CV Heiti SC Regular">
    <w:family w:val="swiss"/>
    <w:embedRegular r:id="rIdFont4" w:fontKey="{692F9159-27E9-51D9-9C22-020825D6D7B1}" w:subsetted="1"/>
  </w:font>
  <w:font w:name="CV Heiti SC Bold">
    <w:family w:val="swiss"/>
    <w:embedRegular r:id="rIdFont5" w:fontKey="{A26C24F8-EBAC-528D-8A56-DE839E79E873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180" w:lineRule="exact"/>
    </w:pPr>
    <w:rPr>
      <w:rFonts w:ascii="DengXian" w:hAnsi="DengXian"/>
      <w:sz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DengXian" w:hAnsi="DengXian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DengXian" w:hAnsi="DengXian"/>
      <w:b/>
      <w:bCs/>
      <w:color w:val="2020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240" w:lineRule="auto" w:before="0"/>
      <w:contextualSpacing/>
    </w:pPr>
    <w:rPr>
      <w:rFonts w:asciiTheme="majorHAnsi" w:eastAsiaTheme="majorEastAsia" w:hAnsiTheme="majorHAnsi" w:cstheme="majorBidi" w:ascii="DengXian" w:hAnsi="DengXian"/>
      <w:color w:val="20202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mailto:ywang677@connect.hkust-gz.edu.cn" TargetMode="External"/><Relationship Id="rId11" Type="http://schemas.openxmlformats.org/officeDocument/2006/relationships/hyperlink" Target="https://xjxl0104.github.io/" TargetMode="External"/><Relationship Id="rId12" Type="http://schemas.openxmlformats.org/officeDocument/2006/relationships/hyperlink" Target="https://github.com/xjxl0104" TargetMode="External"/></Relationships>
</file>

<file path=word/_rels/fontTable.xml.rels><?xml version='1.0' encoding='UTF-8' standalone='yes'?>
<Relationships xmlns="http://schemas.openxmlformats.org/package/2006/relationships"><Relationship Id="rIdFont1" Type="http://schemas.openxmlformats.org/officeDocument/2006/relationships/font" Target="fonts/source-font-1.odttf"/><Relationship Id="rIdFont2" Type="http://schemas.openxmlformats.org/officeDocument/2006/relationships/font" Target="fonts/source-font-2.odttf"/><Relationship Id="rIdFont3" Type="http://schemas.openxmlformats.org/officeDocument/2006/relationships/font" Target="fonts/source-font-3.odttf"/><Relationship Id="rIdFont4" Type="http://schemas.openxmlformats.org/officeDocument/2006/relationships/font" Target="fonts/source-font-4.odttf"/><Relationship Id="rIdFont5" Type="http://schemas.openxmlformats.org/officeDocument/2006/relationships/font" Target="fonts/source-font-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Yusong Wang</dc:title>
  <dc:subject>Curriculum Vitae</dc:subject>
  <dc:creator>Yusong Wang</dc:creator>
  <cp:keywords>AI Agent, RAG,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