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发电负荷预测项目目标表格</w:t>
      </w:r>
    </w:p>
    <w:p>
      <w:pPr>
        <w:pStyle w:val="Heading2"/>
        <w:spacing w:after="200"/>
        <w:jc w:val="left"/>
      </w:pPr>
      <w:r>
        <w:t xml:space="preserve">项目概述</w:t>
      </w:r>
    </w:p>
    <w:p>
      <w:pPr>
        <w:spacing w:after="120"/>
        <w:jc w:val="left"/>
      </w:pPr>
      <w:r>
        <w:t xml:space="preserve">基于SimpleRNN.ipynb和需求说明-0508.txt的分析，本项目旨在解决发电负荷预测问题，使用深度学习方法对机组实际负荷进行时间序列预测。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数据表结构设计</w:t>
      </w:r>
    </w:p>
    <w:p>
      <w:pPr>
        <w:pStyle w:val="Heading3"/>
        <w:spacing w:after="200"/>
        <w:jc w:val="left"/>
      </w:pPr>
      <w:r>
        <w:t xml:space="preserve">基础数据表结构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9"/>
        <w:gridCol w:w="1783"/>
        <w:gridCol w:w="2674"/>
        <w:gridCol w:w="26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列名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数据类型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示例/范围</w:t>
            </w:r>
          </w:p>
        </w:tc>
      </w:tr>
      <w:tr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时间点（第一列）</w:t>
            </w:r>
          </w:p>
        </w:tc>
        <w:tc>
          <w:p>
            <w:pPr>
              <w:jc w:val="left"/>
            </w:pPr>
            <w:r>
              <w:t xml:space="preserve">2026-05-22 14:30:00</w:t>
            </w:r>
          </w:p>
        </w:tc>
      </w:tr>
      <w:tr>
        <w:tc>
          <w:p>
            <w:pPr>
              <w:jc w:val="left"/>
            </w:pPr>
            <w:r>
              <w:t xml:space="preserve">p_mbar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气压（毫巴）</w:t>
            </w:r>
          </w:p>
        </w:tc>
        <w:tc>
          <w:p>
            <w:pPr>
              <w:jc w:val="left"/>
            </w:pPr>
            <w:r>
              <w:t xml:space="preserve">950-1100</w:t>
            </w:r>
          </w:p>
        </w:tc>
      </w:tr>
      <w:tr>
        <w:tc>
          <w:p>
            <w:pPr>
              <w:jc w:val="left"/>
            </w:pPr>
            <w:r>
              <w:t xml:space="preserve">T_degC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温度（摄氏度）</w:t>
            </w:r>
          </w:p>
        </w:tc>
        <w:tc>
          <w:p>
            <w:pPr>
              <w:jc w:val="left"/>
            </w:pPr>
            <w:r>
              <w:t xml:space="preserve">-20 到 +30</w:t>
            </w:r>
          </w:p>
        </w:tc>
      </w:tr>
      <w:tr>
        <w:tc>
          <w:p>
            <w:pPr>
              <w:jc w:val="left"/>
            </w:pPr>
            <w:r>
              <w:t xml:space="preserve">Tpot_K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位温（开尔文）</w:t>
            </w:r>
          </w:p>
        </w:tc>
        <w:tc>
          <w:p>
            <w:pPr>
              <w:jc w:val="left"/>
            </w:pPr>
            <w:r>
              <w:t xml:space="preserve">250-320</w:t>
            </w:r>
          </w:p>
        </w:tc>
      </w:tr>
      <w:tr>
        <w:tc>
          <w:p>
            <w:pPr>
              <w:jc w:val="left"/>
            </w:pPr>
            <w:r>
              <w:t xml:space="preserve">Tdew_degC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露点温度（摄氏度）</w:t>
            </w:r>
          </w:p>
        </w:tc>
        <w:tc>
          <w:p>
            <w:pPr>
              <w:jc w:val="left"/>
            </w:pPr>
            <w:r>
              <w:t xml:space="preserve">-25 到 +25</w:t>
            </w:r>
          </w:p>
        </w:tc>
      </w:tr>
      <w:tr>
        <w:tc>
          <w:p>
            <w:pPr>
              <w:jc w:val="left"/>
            </w:pPr>
            <w:r>
              <w:t xml:space="preserve">rh_percent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相对湿度（%）</w:t>
            </w:r>
          </w:p>
        </w:tc>
        <w:tc>
          <w:p>
            <w:pPr>
              <w:jc w:val="left"/>
            </w:pPr>
            <w:r>
              <w:t xml:space="preserve">0-100</w:t>
            </w:r>
          </w:p>
        </w:tc>
      </w:tr>
      <w:tr>
        <w:tc>
          <w:p>
            <w:pPr>
              <w:jc w:val="left"/>
            </w:pPr>
            <w:r>
              <w:t xml:space="preserve">VPmax_mbar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最大水汽压（毫巴）</w:t>
            </w:r>
          </w:p>
        </w:tc>
        <w:tc>
          <w:p>
            <w:pPr>
              <w:jc w:val="left"/>
            </w:pPr>
            <w:r>
              <w:t xml:space="preserve">0-50</w:t>
            </w:r>
          </w:p>
        </w:tc>
      </w:tr>
      <w:tr>
        <w:tc>
          <w:p>
            <w:pPr>
              <w:jc w:val="left"/>
            </w:pPr>
            <w:r>
              <w:t xml:space="preserve">VPact_mbar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实际水汽压（毫巴）</w:t>
            </w:r>
          </w:p>
        </w:tc>
        <w:tc>
          <w:p>
            <w:pPr>
              <w:jc w:val="left"/>
            </w:pPr>
            <w:r>
              <w:t xml:space="preserve">0-40</w:t>
            </w:r>
          </w:p>
        </w:tc>
      </w:tr>
      <w:tr>
        <w:tc>
          <w:p>
            <w:pPr>
              <w:jc w:val="left"/>
            </w:pPr>
            <w:r>
              <w:t xml:space="preserve">VPdef_mbar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水汽压差（毫巴）</w:t>
            </w:r>
          </w:p>
        </w:tc>
        <w:tc>
          <w:p>
            <w:pPr>
              <w:jc w:val="left"/>
            </w:pPr>
            <w:r>
              <w:t xml:space="preserve">0-30</w:t>
            </w:r>
          </w:p>
        </w:tc>
      </w:tr>
      <w:tr>
        <w:tc>
          <w:p>
            <w:pPr>
              <w:jc w:val="left"/>
            </w:pPr>
            <w:r>
              <w:t xml:space="preserve">sh_g_kg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比湿（g/kg）</w:t>
            </w:r>
          </w:p>
        </w:tc>
        <w:tc>
          <w:p>
            <w:pPr>
              <w:jc w:val="left"/>
            </w:pPr>
            <w:r>
              <w:t xml:space="preserve">0-20</w:t>
            </w:r>
          </w:p>
        </w:tc>
      </w:tr>
      <w:tr>
        <w:tc>
          <w:p>
            <w:pPr>
              <w:jc w:val="left"/>
            </w:pPr>
            <w:r>
              <w:t xml:space="preserve">H2OC_mmol_mol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水汽浓度（mmol/mol）</w:t>
            </w:r>
          </w:p>
        </w:tc>
        <w:tc>
          <w:p>
            <w:pPr>
              <w:jc w:val="left"/>
            </w:pPr>
            <w:r>
              <w:t xml:space="preserve">0-30</w:t>
            </w:r>
          </w:p>
        </w:tc>
      </w:tr>
      <w:tr>
        <w:tc>
          <w:p>
            <w:pPr>
              <w:jc w:val="left"/>
            </w:pPr>
            <w:r>
              <w:t xml:space="preserve">rho_g_m3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空气密度（g/m³）</w:t>
            </w:r>
          </w:p>
        </w:tc>
        <w:tc>
          <w:p>
            <w:pPr>
              <w:jc w:val="left"/>
            </w:pPr>
            <w:r>
              <w:t xml:space="preserve">1.0-1.5</w:t>
            </w:r>
          </w:p>
        </w:tc>
      </w:tr>
      <w:tr>
        <w:tc>
          <w:p>
            <w:pPr>
              <w:jc w:val="left"/>
            </w:pPr>
            <w:r>
              <w:t xml:space="preserve">wv_m_s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风速（m/s）</w:t>
            </w:r>
          </w:p>
        </w:tc>
        <w:tc>
          <w:p>
            <w:pPr>
              <w:jc w:val="left"/>
            </w:pPr>
            <w:r>
              <w:t xml:space="preserve">0-20</w:t>
            </w:r>
          </w:p>
        </w:tc>
      </w:tr>
      <w:tr>
        <w:tc>
          <w:p>
            <w:pPr>
              <w:jc w:val="left"/>
            </w:pPr>
            <w:r>
              <w:t xml:space="preserve">max_wv_m_s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最大风速（m/s）</w:t>
            </w:r>
          </w:p>
        </w:tc>
        <w:tc>
          <w:p>
            <w:pPr>
              <w:jc w:val="left"/>
            </w:pPr>
            <w:r>
              <w:t xml:space="preserve">0-30</w:t>
            </w:r>
          </w:p>
        </w:tc>
      </w:tr>
      <w:tr>
        <w:tc>
          <w:p>
            <w:pPr>
              <w:jc w:val="left"/>
            </w:pPr>
            <w:r>
              <w:t xml:space="preserve">wd_deg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风向（度）</w:t>
            </w:r>
          </w:p>
        </w:tc>
        <w:tc>
          <w:p>
            <w:pPr>
              <w:jc w:val="left"/>
            </w:pPr>
            <w:r>
              <w:t xml:space="preserve">0-360</w:t>
            </w:r>
          </w:p>
        </w:tc>
      </w:tr>
      <w:tr>
        <w:tc>
          <w:p>
            <w:pPr>
              <w:jc w:val="left"/>
            </w:pPr>
            <w:r>
              <w:t xml:space="preserve">target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机组实际负荷</w:t>
            </w:r>
          </w:p>
        </w:tc>
        <w:tc>
          <w:p>
            <w:pPr>
              <w:jc w:val="left"/>
            </w:pPr>
            <w:r>
              <w:t xml:space="preserve">0-100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数据预处理参数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采样频率</w:t>
      </w:r>
      <w:r>
        <w:t xml:space="preserve">: 每小时一个数据点（step=6，原始数据10分钟一个点）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时间窗口</w:t>
      </w:r>
      <w:r>
        <w:t xml:space="preserve">: 过去5天数据（lookback=720）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预测目标</w:t>
      </w:r>
      <w:r>
        <w:t xml:space="preserve">: 未来24小时数据（delay=144）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数据标准化</w:t>
      </w:r>
      <w:r>
        <w:t xml:space="preserve">: 使用均值和标准差进行标准化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模型选择与架构</w:t>
      </w:r>
    </w:p>
    <w:p>
      <w:pPr>
        <w:pStyle w:val="Heading3"/>
        <w:spacing w:after="200"/>
        <w:jc w:val="left"/>
      </w:pPr>
      <w:r>
        <w:t xml:space="preserve">推荐模型优先级</w:t>
      </w:r>
    </w:p>
    <w:p>
      <w:pPr>
        <w:pStyle w:val="Heading4"/>
        <w:spacing w:after="200"/>
        <w:jc w:val="left"/>
      </w:pPr>
      <w:r>
        <w:t xml:space="preserve">1. GRU模型（首选）</w:t>
      </w:r>
    </w:p>
    <w:p>
      <w:pPr>
        <w:spacing w:after="120"/>
        <w:jc w:val="left"/>
      </w:pPr>
      <w:r>
        <w:rPr>
          <w:b/>
          <w:bCs/>
        </w:rPr>
        <w:t xml:space="preserve">架构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= Sequential()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model.add(layers.GRU(32,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dropout=0.2,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recurrent_dropout=0.2,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input_shape=(None, num_features)))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model.add(layers.Dense(1))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rPr>
          <w:b/>
          <w:bCs/>
        </w:rPr>
        <w:t xml:space="preserve">优势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训练速度比LSTM快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性能与LSTM相当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参数较少，计算效率高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LSTM模型（备选）</w:t>
      </w:r>
    </w:p>
    <w:p>
      <w:pPr>
        <w:spacing w:after="120"/>
        <w:jc w:val="left"/>
      </w:pPr>
      <w:r>
        <w:rPr>
          <w:b/>
          <w:bCs/>
        </w:rPr>
        <w:t xml:space="preserve">架构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= Sequential()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model.add(layers.LSTM(32, input_shape=(None, num_features)))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model.add(layers.Dense(1, activation='sigmoid'))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rPr>
          <w:b/>
          <w:bCs/>
        </w:rPr>
        <w:t xml:space="preserve">优势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处理长期依赖关系优秀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在文本和序列数据上表现良好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 堆叠GRU模型（高性能）</w:t>
      </w:r>
    </w:p>
    <w:p>
      <w:pPr>
        <w:spacing w:after="120"/>
        <w:jc w:val="left"/>
      </w:pPr>
      <w:r>
        <w:rPr>
          <w:b/>
          <w:bCs/>
        </w:rPr>
        <w:t xml:space="preserve">架构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= Sequential()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model.add(layers.GRU(32,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dropout=0.1,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recurrent_dropout=0.5,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return_sequences=True,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input_shape=(None, num_features)))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model.add(layers.GRU(64, activation='relu',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dropout=0.1,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recurrent_dropout=0.5))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model.add(layers.Dense(1))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rPr>
          <w:b/>
          <w:bCs/>
        </w:rPr>
        <w:t xml:space="preserve">优势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更高的模型容量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更好的特征提取能力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模型训练参数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优化器</w:t>
      </w:r>
      <w:r>
        <w:t xml:space="preserve">: RMSprop(learning_rate=0.001)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损失函数</w:t>
      </w:r>
      <w:r>
        <w:t xml:space="preserve">: MAE (Mean Absolute Error)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批量大小</w:t>
      </w:r>
      <w:r>
        <w:t xml:space="preserve">: 128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训练轮数</w:t>
      </w:r>
      <w:r>
        <w:t xml:space="preserve">: 20-40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验证集划分</w:t>
      </w:r>
      <w:r>
        <w:t xml:space="preserve">: 20%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预测目标</w:t>
      </w:r>
    </w:p>
    <w:p>
      <w:pPr>
        <w:pStyle w:val="Heading3"/>
        <w:spacing w:after="200"/>
        <w:jc w:val="left"/>
      </w:pPr>
      <w:r>
        <w:t xml:space="preserve">主要预测任务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发电负荷预测</w:t>
      </w:r>
      <w:r>
        <w:t xml:space="preserve">: 预测未来24小时机组实际负荷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供电需求预测</w:t>
      </w:r>
      <w:r>
        <w:t xml:space="preserve">: 预测未来24-72小时供电需求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AGC信号预测</w:t>
      </w:r>
      <w:r>
        <w:t xml:space="preserve">: 提前感知自动发电控制信号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预测时间范围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短期预测</w:t>
      </w:r>
      <w:r>
        <w:t xml:space="preserve">: 24小时内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中期预测</w:t>
      </w:r>
      <w:r>
        <w:t xml:space="preserve">: 24-72小时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长期预测</w:t>
      </w:r>
      <w:r>
        <w:t xml:space="preserve">: 72小时以上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评估指标</w:t>
      </w:r>
    </w:p>
    <w:p>
      <w:pPr>
        <w:pStyle w:val="Heading3"/>
        <w:spacing w:after="200"/>
        <w:jc w:val="left"/>
      </w:pPr>
      <w:r>
        <w:t xml:space="preserve">基准指标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朴素预测MAE</w:t>
      </w:r>
      <w:r>
        <w:t xml:space="preserve">: 2.57℃（温度预测基准）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目标MAE</w:t>
      </w:r>
      <w:r>
        <w:t xml:space="preserve">: &lt; 2.0℃（温度预测）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负荷预测误差</w:t>
      </w:r>
      <w:r>
        <w:t xml:space="preserve">: &lt; 5%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模型性能对比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7"/>
        <w:gridCol w:w="1775"/>
        <w:gridCol w:w="1775"/>
        <w:gridCol w:w="1937"/>
        <w:gridCol w:w="19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训练MAE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验证MAE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训练时间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推荐度</w:t>
            </w:r>
          </w:p>
        </w:tc>
      </w:tr>
      <w:tr>
        <w:tc>
          <w:p>
            <w:pPr>
              <w:jc w:val="left"/>
            </w:pPr>
            <w:r>
              <w:t xml:space="preserve">朴素方法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2.57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基准</w:t>
            </w:r>
          </w:p>
        </w:tc>
      </w:tr>
      <w:tr>
        <w:tc>
          <w:p>
            <w:pPr>
              <w:jc w:val="left"/>
            </w:pPr>
            <w:r>
              <w:t xml:space="preserve">Dense网络</w:t>
            </w:r>
          </w:p>
        </w:tc>
        <w:tc>
          <w:p>
            <w:pPr>
              <w:jc w:val="left"/>
            </w:pPr>
            <w:r>
              <w:t xml:space="preserve">~0.4</w:t>
            </w:r>
          </w:p>
        </w:tc>
        <w:tc>
          <w:p>
            <w:pPr>
              <w:jc w:val="left"/>
            </w:pPr>
            <w:r>
              <w:t xml:space="preserve">~0.4</w:t>
            </w:r>
          </w:p>
        </w:tc>
        <w:tc>
          <w:p>
            <w:pPr>
              <w:jc w:val="left"/>
            </w:pPr>
            <w:r>
              <w:t xml:space="preserve">快</w:t>
            </w:r>
          </w:p>
        </w:tc>
        <w:tc>
          <w:p>
            <w:pPr>
              <w:jc w:val="left"/>
            </w:pPr>
            <w:r>
              <w:t xml:space="preserve">★★☆</w:t>
            </w:r>
          </w:p>
        </w:tc>
      </w:tr>
      <w:tr>
        <w:tc>
          <w:p>
            <w:pPr>
              <w:jc w:val="left"/>
            </w:pPr>
            <w:r>
              <w:t xml:space="preserve">SimpleRNN</w:t>
            </w:r>
          </w:p>
        </w:tc>
        <w:tc>
          <w:p>
            <w:pPr>
              <w:jc w:val="left"/>
            </w:pPr>
            <w:r>
              <w:t xml:space="preserve">~0.35</w:t>
            </w:r>
          </w:p>
        </w:tc>
        <w:tc>
          <w:p>
            <w:pPr>
              <w:jc w:val="left"/>
            </w:pPr>
            <w:r>
              <w:t xml:space="preserve">~0.35</w:t>
            </w:r>
          </w:p>
        </w:tc>
        <w:tc>
          <w:p>
            <w:pPr>
              <w:jc w:val="left"/>
            </w:pPr>
            <w:r>
              <w:t xml:space="preserve">中</w:t>
            </w:r>
          </w:p>
        </w:tc>
        <w:tc>
          <w:p>
            <w:pPr>
              <w:jc w:val="left"/>
            </w:pPr>
            <w:r>
              <w:t xml:space="preserve">★★★</w:t>
            </w:r>
          </w:p>
        </w:tc>
      </w:tr>
      <w:tr>
        <w:tc>
          <w:p>
            <w:pPr>
              <w:jc w:val="left"/>
            </w:pPr>
            <w:r>
              <w:t xml:space="preserve">GRU</w:t>
            </w:r>
          </w:p>
        </w:tc>
        <w:tc>
          <w:p>
            <w:pPr>
              <w:jc w:val="left"/>
            </w:pPr>
            <w:r>
              <w:t xml:space="preserve">~0.21</w:t>
            </w:r>
          </w:p>
        </w:tc>
        <w:tc>
          <w:p>
            <w:pPr>
              <w:jc w:val="left"/>
            </w:pPr>
            <w:r>
              <w:t xml:space="preserve">~0.30</w:t>
            </w:r>
          </w:p>
        </w:tc>
        <w:tc>
          <w:p>
            <w:pPr>
              <w:jc w:val="left"/>
            </w:pPr>
            <w:r>
              <w:t xml:space="preserve">中</w:t>
            </w:r>
          </w:p>
        </w:tc>
        <w:tc>
          <w:p>
            <w:pPr>
              <w:jc w:val="left"/>
            </w:pPr>
            <w:r>
              <w:t xml:space="preserve">★★★★</w:t>
            </w:r>
          </w:p>
        </w:tc>
      </w:tr>
      <w:tr>
        <w:tc>
          <w:p>
            <w:pPr>
              <w:jc w:val="left"/>
            </w:pPr>
            <w:r>
              <w:t xml:space="preserve">LSTM</w:t>
            </w:r>
          </w:p>
        </w:tc>
        <w:tc>
          <w:p>
            <w:pPr>
              <w:jc w:val="left"/>
            </w:pPr>
            <w:r>
              <w:t xml:space="preserve">~0.11</w:t>
            </w:r>
          </w:p>
        </w:tc>
        <w:tc>
          <w:p>
            <w:pPr>
              <w:jc w:val="left"/>
            </w:pPr>
            <w:r>
              <w:t xml:space="preserve">~0.44</w:t>
            </w:r>
          </w:p>
        </w:tc>
        <w:tc>
          <w:p>
            <w:pPr>
              <w:jc w:val="left"/>
            </w:pPr>
            <w:r>
              <w:t xml:space="preserve">慢</w:t>
            </w:r>
          </w:p>
        </w:tc>
        <w:tc>
          <w:p>
            <w:pPr>
              <w:jc w:val="left"/>
            </w:pPr>
            <w:r>
              <w:t xml:space="preserve">★★★☆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实施建议</w:t>
      </w:r>
    </w:p>
    <w:p>
      <w:pPr>
        <w:pStyle w:val="Heading3"/>
        <w:spacing w:after="200"/>
        <w:jc w:val="left"/>
      </w:pPr>
      <w:r>
        <w:t xml:space="preserve">数据准备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收集历史发电负荷数据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收集相关气象和环境数据</w:t>
      </w:r>
    </w:p>
    <w:p>
      <w:pPr>
        <w:spacing w:after="100"/>
        <w:ind w:start="20"/>
        <w:jc w:val="left"/>
      </w:pPr>
      <w:r>
        <w:t xml:space="preserve">3. </w:t>
      </w:r>
      <w:r>
        <w:t xml:space="preserve">进行数据清洗和标准化</w:t>
      </w:r>
    </w:p>
    <w:p>
      <w:pPr>
        <w:spacing w:after="100"/>
        <w:ind w:start="20"/>
        <w:jc w:val="left"/>
      </w:pPr>
      <w:r>
        <w:t xml:space="preserve">4. </w:t>
      </w:r>
      <w:r>
        <w:t xml:space="preserve">创建时间序列数据集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模型实施步骤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数据预处理</w:t>
      </w:r>
      <w:r>
        <w:t xml:space="preserve">: 标准化、创建时间窗口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模型选择</w:t>
      </w:r>
      <w:r>
        <w:t xml:space="preserve">: 优先尝试GRU模型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模型训练</w:t>
      </w:r>
      <w:r>
        <w:t xml:space="preserve">: 使用验证集监控过拟合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模型评估</w:t>
      </w:r>
      <w:r>
        <w:t xml:space="preserve">: 比较不同模型的MAE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模型优化</w:t>
      </w:r>
      <w:r>
        <w:t xml:space="preserve">: 调整超参数，添加正则化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预期成果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建立准确的发电负荷预测模型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实现24小时负荷预测误差&lt;5%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提供可靠的供电需求预测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支持AGC信号的提前感知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生成时间</w:t>
      </w:r>
      <w:r>
        <w:t xml:space="preserve">: 2026-05-22</w:t>
      </w:r>
      <w:r>
        <w:br/>
      </w:r>
      <w:r>
        <w:rPr>
          <w:b/>
          <w:bCs/>
        </w:rPr>
        <w:t xml:space="preserve">基于文件</w:t>
      </w:r>
      <w:r>
        <w:t xml:space="preserve">: SimpleRNN.ipynb, 需求说明-0508.txt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2026-05-22T10:02:07.143Z</dcterms:created>
  <dcterms:modified xsi:type="dcterms:W3CDTF">2026-05-22T10:02:07.143Z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