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spacing w:after="160" w:line="300" w:lineRule="auto"/>
      </w:pPr>
      <w:r>
        <w:t>多模态数据驱动的可解释精准问数问答智能体</w:t>
      </w:r>
    </w:p>
    <w:p/>
    <w:p/>
    <w:p/>
    <w:p>
      <w:pPr>
        <w:pStyle w:val="Title"/>
        <w:spacing w:after="160" w:line="300" w:lineRule="auto"/>
      </w:pPr>
      <w:r>
        <w:t>OmniAgent</w:t>
      </w:r>
    </w:p>
    <w:p>
      <w:pPr>
        <w:pStyle w:val="Heading1"/>
        <w:spacing w:after="160" w:line="300" w:lineRule="auto"/>
      </w:pPr>
      <w:r>
        <w:t>设计报告</w:t>
      </w:r>
    </w:p>
    <w:p>
      <w:pPr>
        <w:spacing w:after="160" w:line="300" w:lineRule="auto"/>
      </w:pPr>
      <w:r>
        <w:t>设计目标、核心亮点、中级任务与验收边界</w:t>
      </w:r>
    </w:p>
    <w:p>
      <w:pPr>
        <w:spacing w:after="160" w:line="300" w:lineRule="auto"/>
      </w:pPr>
      <w:r>
        <w:t>版本日期：2026-10-01</w:t>
        <w:br/>
        <w:t>匿名技术材料 · 依据官方赛题与当前实际运行证据</w:t>
      </w:r>
    </w:p>
    <w:p>
      <w:pPr>
        <w:spacing w:after="160" w:line="300" w:lineRule="auto"/>
      </w:pPr>
      <w:r>
        <w:t>阅读边界：本地开发验收与真实模型验收分别呈现。指定模型 gpt-6-luna 尚未通过鉴权；本文不把规则回退称为模型成功，不将开发题成绩换算为官方成绩。</w:t>
      </w:r>
    </w:p>
    <w:p>
      <w:r>
        <w:br w:type="page"/>
      </w:r>
    </w:p>
    <w:p>
      <w:pPr>
        <w:pStyle w:val="Heading1"/>
        <w:spacing w:after="160" w:line="300" w:lineRule="auto"/>
      </w:pPr>
      <w:r>
        <w:t>核心亮点预览 一 架构与证据</w:t>
      </w:r>
    </w:p>
    <w:p>
      <w:pPr>
        <w:spacing w:after="160" w:line="300" w:lineRule="auto"/>
      </w:pPr>
      <w:r>
        <w:t>系统面向“数据库里的数值”和“文档里的口径”需要共同回答的问题。结构化问数、独立知识库与跨源执行器共享来源契约；前端直接展示实际SQL、引用位置、计算参数和失败原因。</w:t>
      </w:r>
    </w:p>
    <w:p>
      <w:r>
        <w:drawing>
          <wp:inline xmlns:a="http://schemas.openxmlformats.org/drawingml/2006/main" xmlns:pic="http://schemas.openxmlformats.org/drawingml/2006/picture">
            <wp:extent cx="6120000" cy="25353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5353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 w:line="300" w:lineRule="auto"/>
      </w:pPr>
      <w:r>
        <w:t>图1 系统架构与共享证据契约（与当前源码对应）</w:t>
      </w:r>
    </w:p>
    <w:p>
      <w:pPr>
        <w:spacing w:after="160" w:line="300" w:lineRule="auto"/>
      </w:pPr>
      <w:r>
        <w:t>处理链路：用户问题→结构化会话→SQL/文档/跨源路由→有界工具执行→证据与单位校验→答案和可回看来源。PDF、DOCX、XLSX、TXT、MD、PNG入库后保留页、行、单元格或OCR区域定位。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365"/>
      </w:tblGrid>
      <w:tr>
        <w:trPr>
          <w:cantSplit/>
          <w:tblHeader/>
        </w:trPr>
        <w:tc>
          <w:tcPr>
            <w:tcW w:type="dxa" w:w="2154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当前验收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结果</w:t>
            </w:r>
          </w:p>
        </w:tc>
        <w:tc>
          <w:tcPr>
            <w:tcW w:type="dxa" w:w="4365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口径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问数开发验收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12/12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规则规划、合成开发题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多格式问答开发验收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11/11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混合检索、原文摘录与引用核对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跨源工具链开发验收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5/5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明确工具计划，非未知模型规划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公开Chinook开发题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12/12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公开库，人工题，非Spider基准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实际故障开发审计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4/10 → 10/10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临时文件/数据库/HTTP子服务，首次失败保留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真实gpt-6-luna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authentication_failed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models及responses探测401，未有模型成绩</w:t>
            </w:r>
          </w:p>
        </w:tc>
      </w:tr>
    </w:tbl>
    <w:p>
      <w:r>
        <w:br w:type="page"/>
      </w:r>
    </w:p>
    <w:p>
      <w:pPr>
        <w:pStyle w:val="Heading1"/>
        <w:spacing w:after="160" w:line="300" w:lineRule="auto"/>
      </w:pPr>
      <w:r>
        <w:t>核心亮点预览 二 中级任务覆盖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3118"/>
        <w:gridCol w:w="5669"/>
      </w:tblGrid>
      <w:tr>
        <w:trPr>
          <w:cantSplit/>
          <w:tblHeader/>
        </w:trPr>
        <w:tc>
          <w:tcPr>
            <w:tcW w:type="dxa" w:w="850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要求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能力</w:t>
            </w:r>
          </w:p>
        </w:tc>
        <w:tc>
          <w:tcPr>
            <w:tcW w:type="dxa" w:w="5669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当前证据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M01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要素识别、别名与改写</w:t>
            </w:r>
          </w:p>
        </w:tc>
        <w:tc>
          <w:tcPr>
            <w:tcW w:type="dxa" w:w="5669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NFKC、值词边界、5/5文本扰动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M02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低示例跨领域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Chinook 11表、0 few-shot，开发题12/12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M03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主动澄清</w:t>
            </w:r>
          </w:p>
        </w:tc>
        <w:tc>
          <w:tcPr>
            <w:tcW w:type="dxa" w:w="5669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指标、时间、值、JOIN歧义与回填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M04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数十表Schema Linking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11/40/80表干扰，9/9开发案例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M05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JOIN、聚合、嵌套</w:t>
            </w:r>
          </w:p>
        </w:tc>
        <w:tc>
          <w:tcPr>
            <w:tcW w:type="dxa" w:w="5669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关系图、复合键、粒度与防扇出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M06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文档公式与数据结合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AST、来源绑定、单位与预测年份守卫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M07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非标准目录</w:t>
            </w:r>
          </w:p>
        </w:tc>
        <w:tc>
          <w:tcPr>
            <w:tcW w:type="dxa" w:w="5669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8份实际PDF首次2/8→8/8；原文件行号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M08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复杂度自适应</w:t>
            </w:r>
          </w:p>
        </w:tc>
        <w:tc>
          <w:tcPr>
            <w:tcW w:type="dxa" w:w="5669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PageSignal及900字/80重叠复杂切片</w:t>
            </w:r>
          </w:p>
        </w:tc>
      </w:tr>
      <w:tr>
        <w:trPr>
          <w:cantSplit/>
        </w:trPr>
        <w:tc>
          <w:tcPr>
            <w:tcW w:type="dxa" w:w="850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M09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文档质量综合评估</w:t>
            </w:r>
          </w:p>
        </w:tc>
        <w:tc>
          <w:tcPr>
            <w:tcW w:type="dxa" w:w="5669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OCR8/10→10/10；繁体/错字待验收</w:t>
            </w:r>
          </w:p>
        </w:tc>
      </w:tr>
    </w:tbl>
    <w:p>
      <w:pPr>
        <w:spacing w:after="160" w:line="300" w:lineRule="auto"/>
      </w:pPr>
      <w:r>
        <w:t>重点贡献是把公式、数值、单位、日期版本及工具依赖绑定到真实来源。缺失依据、政策重叠、零分母、币种冲突和已知预测年份不符均停止最终结论。</w:t>
      </w:r>
    </w:p>
    <w:p>
      <w:pPr>
        <w:spacing w:after="160" w:line="300" w:lineRule="auto"/>
      </w:pPr>
      <w:r>
        <w:t>覆盖实现不代表所有官方未知测试均已通过。模型通用规划、独立保留题、公开OCR基准及跨源五轮真实模型评测仍需进一步验证。</w:t>
      </w:r>
    </w:p>
    <w:p>
      <w:r>
        <w:br w:type="page"/>
      </w:r>
    </w:p>
    <w:p>
      <w:pPr>
        <w:pStyle w:val="Heading1"/>
        <w:spacing w:after="160" w:line="300" w:lineRule="auto"/>
      </w:pPr>
      <w:r>
        <w:t>需求与任务边界</w:t>
      </w:r>
    </w:p>
    <w:p>
      <w:pPr>
        <w:spacing w:after="160" w:line="300" w:lineRule="auto"/>
      </w:pPr>
      <w:r>
        <w:t>依据 specification/official-track8.pdf（14页正式赛题），基础任务包括单表问数、单文档问答、可解释展示及交互Demo；中级任务涵盖九类难点；决赛需要多源协同、多跳、澄清与连续五轮。</w:t>
      </w:r>
    </w:p>
    <w:p>
      <w:pPr>
        <w:spacing w:after="160" w:line="300" w:lineRule="auto"/>
      </w:pPr>
      <w:r>
        <w:t>本项目建立在独立目录中，迁移已有NL2SQL与未提交优化作为受保护基线。原生产项目仅作为只读借鉴源，不作为运行服务、私有知识库或密钥依赖。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365"/>
      </w:tblGrid>
      <w:tr>
        <w:trPr>
          <w:cantSplit/>
          <w:tblHeader/>
        </w:trPr>
        <w:tc>
          <w:tcPr>
            <w:tcW w:type="dxa" w:w="2154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对象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当前支持</w:t>
            </w:r>
          </w:p>
        </w:tc>
        <w:tc>
          <w:tcPr>
            <w:tcW w:type="dxa" w:w="4365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边界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数据库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SQLite演示库与公开Chinook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其他数据库方言未作运行验收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文档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15份实际文件、6种格式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合成样本，非真实客户资料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模型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指定Responses兼容接口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仅gpt-6-luna，鉴权尚未通过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交互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问数/知识库/验收工作台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本地开发服务，不声称完成生产审计</w:t>
            </w:r>
          </w:p>
        </w:tc>
      </w:tr>
    </w:tbl>
    <w:p>
      <w:pPr>
        <w:spacing w:after="160" w:line="300" w:lineRule="auto"/>
      </w:pPr>
      <w:r>
        <w:t>系统对无证据、歧义、错误计划和不可执行的查询显式返回状态；不会为提高表面完成率而使用猜测答案。</w:t>
      </w:r>
    </w:p>
    <w:p>
      <w:pPr>
        <w:pStyle w:val="Heading1"/>
        <w:spacing w:after="160" w:line="300" w:lineRule="auto"/>
      </w:pPr>
      <w:r>
        <w:t>问数设计 意图与可执行口径</w:t>
      </w:r>
    </w:p>
    <w:p>
      <w:pPr>
        <w:spacing w:after="160" w:line="300" w:lineRule="auto"/>
      </w:pPr>
      <w:r>
        <w:t>Schema自动解析表、字段、主外键与关系；值索引把“华东”等实际值绑定到正确列。Unicode归一化、繁简与别名处理降低输入差异；显式字段与最长字段匹配防止短词抢占长指标。</w:t>
      </w:r>
    </w:p>
    <w:p>
      <w:pPr>
        <w:spacing w:after="160" w:line="300" w:lineRule="auto"/>
      </w:pPr>
      <w:r>
        <w:t>计划由指标、时间、过滤、分组、聚合、排序与JOIN结构组成。模型不直接执行裸SQL；同一安全门检查字段合法性、覆盖率、JOIN粒度和只读性。模糊意图进入澄清接口，用户选择后回填。</w:t>
      </w:r>
    </w:p>
    <w:p>
      <w:pPr>
        <w:spacing w:after="160" w:line="300" w:lineRule="auto"/>
      </w:pPr>
      <w:r>
        <w:t>跨域扩展首先增加Schema和业务指标口径，而非为每一道题追加字符串模板。Chinook与干扰表实验证明有限场景可运行，尚不能推导任意业务数据库准确率。</w:t>
      </w:r>
    </w:p>
    <w:p>
      <w:pPr>
        <w:spacing w:after="160" w:line="300" w:lineRule="auto"/>
      </w:pPr>
      <w:r>
        <w:t>五轮会话示例：2025华东销售额→改华南→改2024→换订单数→换华北。结构化条件替换避免把前轮已撤销条件误叠加。</w:t>
      </w:r>
    </w:p>
    <w:p>
      <w:pPr>
        <w:pStyle w:val="Heading1"/>
        <w:spacing w:after="160" w:line="300" w:lineRule="auto"/>
      </w:pPr>
      <w:r>
        <w:t>多模态与检索设计</w:t>
      </w:r>
    </w:p>
    <w:p>
      <w:pPr>
        <w:spacing w:after="160" w:line="300" w:lineRule="auto"/>
      </w:pPr>
      <w:r>
        <w:t>文本PDF优先保留原生文本与页块，扫描PDF和图片调用RapidOCR ONNX CPU。DOCX段落、XLSX行列、TXT/MD标题路径保留结构。低质量图片执行有界增强并保留原始结果。</w:t>
      </w:r>
    </w:p>
    <w:p>
      <w:pPr>
        <w:spacing w:after="160" w:line="300" w:lineRule="auto"/>
      </w:pPr>
      <w:r>
        <w:t>BGE-small-zh-v1.5固定公开revision与SHA，以CLS归一化向量提供真正Dense检索。BM25提供精确词匹配，RRF融合排名。明确编号先作为范围约束，避免CASE0005与CASE00050混淆。</w:t>
      </w:r>
    </w:p>
    <w:p>
      <w:pPr>
        <w:spacing w:after="160" w:line="300" w:lineRule="auto"/>
      </w:pPr>
      <w:r>
        <w:t>知识库原文件内容寻址，保存SHA与定位片段。答案可以回看原文件；定位、原文和数字核验失败时拒绝把候选片段包装为确定结论。</w:t>
      </w:r>
    </w:p>
    <w:p>
      <w:pPr>
        <w:spacing w:after="160" w:line="300" w:lineRule="auto"/>
      </w:pPr>
      <w:r>
        <w:t>开发阈值0.35/0.6未经过独立校准；OCR置信度选优是工程启发式，不是语义正确保证。</w:t>
      </w:r>
    </w:p>
    <w:p>
      <w:pPr>
        <w:pStyle w:val="Heading1"/>
        <w:spacing w:after="160" w:line="300" w:lineRule="auto"/>
      </w:pPr>
      <w:r>
        <w:t>跨源设计 每一步都有来源</w:t>
      </w:r>
    </w:p>
    <w:p>
      <w:pPr>
        <w:spacing w:after="160" w:line="300" w:lineRule="auto"/>
      </w:pPr>
      <w:r>
        <w:t>执行计划每步包含id、tool和args，最多16步；ref/path定义实际依赖。运行前拒绝循环、缺失依赖、重复ID和未知工具。SQL或文档结果只有通过契约后才能作为后步参数。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365"/>
      </w:tblGrid>
      <w:tr>
        <w:trPr>
          <w:cantSplit/>
          <w:tblHeader/>
        </w:trPr>
        <w:tc>
          <w:tcPr>
            <w:tcW w:type="dxa" w:w="2154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场景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依赖链</w:t>
            </w:r>
          </w:p>
        </w:tc>
        <w:tc>
          <w:tcPr>
            <w:tcW w:type="dxa" w:w="4365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核验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客单价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文档公式→SQL销售额/订单数→计算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来源与零分母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预测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PDF公式→SQL基准→Excel增长率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年份与单位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地区问数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Excel地区→SQL过滤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实际单元格与地区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冠军经验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SQL排名→冠军实体→文档检索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实体与引用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阈值比较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检索→来源事实→Excel→le比较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原文、数值与单位</w:t>
            </w:r>
          </w:p>
        </w:tc>
      </w:tr>
    </w:tbl>
    <w:p>
      <w:pPr>
        <w:spacing w:after="160" w:line="300" w:lineRule="auto"/>
      </w:pPr>
      <w:r>
        <w:t>已核对例子：2025华东销售额29584，按来源增长率12%得到2026预测33134.08。错年份停止，不显示该中间数值为最终答案。该结果仅用于合成样本验收。</w:t>
      </w:r>
    </w:p>
    <w:p>
      <w:pPr>
        <w:pStyle w:val="Heading1"/>
        <w:spacing w:after="160" w:line="300" w:lineRule="auto"/>
      </w:pPr>
      <w:r>
        <w:t>评估设计与当前结果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3118"/>
        <w:gridCol w:w="4365"/>
      </w:tblGrid>
      <w:tr>
        <w:trPr>
          <w:cantSplit/>
          <w:tblHeader/>
        </w:trPr>
        <w:tc>
          <w:tcPr>
            <w:tcW w:type="dxa" w:w="2154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评测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结果</w:t>
            </w:r>
          </w:p>
        </w:tc>
        <w:tc>
          <w:tcPr>
            <w:tcW w:type="dxa" w:w="4365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问数开发验收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12/12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规则规划、合成开发题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多格式问答开发验收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11/11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混合检索、原文摘录与引用核对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跨源工具链开发验收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5/5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明确工具计划，非未知模型规划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公开Chinook开发题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12/12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公开库，人工题，非Spider基准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实际故障开发审计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4/10 → 10/10</w:t>
            </w:r>
          </w:p>
        </w:tc>
        <w:tc>
          <w:tcPr>
            <w:tcW w:type="dxa" w:w="4365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临时文件/数据库/HTTP子服务，首次失败保留</w:t>
            </w:r>
          </w:p>
        </w:tc>
      </w:tr>
      <w:tr>
        <w:trPr>
          <w:cantSplit/>
        </w:trPr>
        <w:tc>
          <w:tcPr>
            <w:tcW w:type="dxa" w:w="2154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真实gpt-6-luna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authentication_failed</w:t>
            </w:r>
          </w:p>
        </w:tc>
        <w:tc>
          <w:tcPr>
            <w:tcW w:type="dxa" w:w="4365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models及responses探测401，未有模型成绩</w:t>
            </w:r>
          </w:p>
        </w:tc>
      </w:tr>
    </w:tbl>
    <w:p>
      <w:pPr>
        <w:spacing w:after="160" w:line="300" w:lineRule="auto"/>
      </w:pPr>
      <w:r>
        <w:t>本地524项回归覆盖接口、安全、语义与拒绝路径；一个Starlette弃用警告不影响当前通过，但需在依赖升级时处理。</w:t>
      </w:r>
    </w:p>
    <w:p>
      <w:pPr>
        <w:spacing w:after="160" w:line="300" w:lineRule="auto"/>
      </w:pPr>
      <w:r>
        <w:t>同一组十项实际临时副本故障首次4/10，修复后10/10；原文件篡改或缺失停止旧切片与公式链，SQL缺库/锁定停止后步，硬kill子服务重启后五轮和pending澄清继续，会话锁503后解锁保留原历史。仅为开发审计，不代表掉电容灾。</w:t>
      </w:r>
    </w:p>
    <w:p>
      <w:pPr>
        <w:spacing w:after="160" w:line="300" w:lineRule="auto"/>
      </w:pPr>
      <w:r>
        <w:t>结果匹配优先比较执行后的行与列，不把SQL字符串相等当作准确率。问答同时检查预期事实与引用；OCR对比原图与同一扰动样本，避免无对照的增强宣传。</w:t>
      </w:r>
    </w:p>
    <w:p>
      <w:pPr>
        <w:spacing w:after="160" w:line="300" w:lineRule="auto"/>
      </w:pPr>
      <w:r>
        <w:t>计划下一阶段冻结独立保留题、引入未知Schema、遮蔽开发答案后实测；模型验证必须检查provider/model及回退状态，不允许混入规则结果。</w:t>
      </w:r>
    </w:p>
    <w:p>
      <w:pPr>
        <w:pStyle w:val="Heading1"/>
        <w:spacing w:after="160" w:line="300" w:lineRule="auto"/>
      </w:pPr>
      <w:r>
        <w:t>效率 成本与工程取舍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1701"/>
        <w:gridCol w:w="3118"/>
        <w:gridCol w:w="3118"/>
      </w:tblGrid>
      <w:tr>
        <w:trPr>
          <w:cantSplit/>
          <w:tblHeader/>
        </w:trPr>
        <w:tc>
          <w:tcPr>
            <w:tcW w:type="dxa" w:w="1701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PDF页数</w:t>
            </w:r>
          </w:p>
        </w:tc>
        <w:tc>
          <w:tcPr>
            <w:tcW w:type="dxa" w:w="1701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切片数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全局语义热P50/ms</w:t>
            </w:r>
          </w:p>
        </w:tc>
        <w:tc>
          <w:tcPr>
            <w:tcW w:type="dxa" w:w="3118"/>
            <w:vAlign w:val="center"/>
            <w:shd w:fill="172A3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keepNext/>
              <w:spacing w:after="100" w:line="264" w:lineRule="auto"/>
            </w:pPr>
            <w:r>
              <w:rPr>
                <w:color w:val="FFFFFF"/>
                <w:sz w:val="18"/>
              </w:rPr>
              <w:t>全局语义热P95/ms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10</w:t>
            </w:r>
          </w:p>
        </w:tc>
        <w:tc>
          <w:tcPr>
            <w:tcW w:type="dxa" w:w="1701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50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21.154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21.897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100</w:t>
            </w:r>
          </w:p>
        </w:tc>
        <w:tc>
          <w:tcPr>
            <w:tcW w:type="dxa" w:w="1701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500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113.635</w:t>
            </w:r>
          </w:p>
        </w:tc>
        <w:tc>
          <w:tcPr>
            <w:tcW w:type="dxa" w:w="3118"/>
            <w:vAlign w:val="center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134.712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500</w:t>
            </w:r>
          </w:p>
        </w:tc>
        <w:tc>
          <w:tcPr>
            <w:tcW w:type="dxa" w:w="1701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2500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523.822</w:t>
            </w:r>
          </w:p>
        </w:tc>
        <w:tc>
          <w:tcPr>
            <w:tcW w:type="dxa" w:w="3118"/>
            <w:vAlign w:val="center"/>
            <w:shd w:fill="F3F6F8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100" w:line="264" w:lineRule="auto"/>
            </w:pPr>
            <w:r>
              <w:rPr>
                <w:color w:val="000000"/>
                <w:sz w:val="18"/>
              </w:rPr>
              <w:t>618.806</w:t>
            </w:r>
          </w:p>
        </w:tc>
      </w:tr>
    </w:tbl>
    <w:p>
      <w:pPr>
        <w:spacing w:after="160" w:line="300" w:lineRule="auto"/>
      </w:pPr>
      <w:r>
        <w:t>以上是实际文字PDF入库后的混合检索与摘录答案，不含OCR与外部生成。500页全局语义热P50=523.822ms、P95=618.806ms，首次全局回答5.390s。首次全局编码、首载模型与热缓存分别报告；当前首次全局并不是新进程完整冷启动。编号查询不代表一般语义延迟。</w:t>
      </w:r>
    </w:p>
    <w:p>
      <w:pPr>
        <w:spacing w:after="160" w:line="300" w:lineRule="auto"/>
      </w:pPr>
      <w:r>
        <w:t>数据库已实测1千、1万、10万行；10万行热简单查询约11.6ms、嵌套约77.2ms、同比约291.7ms。1/4/8线程规则查询约13.63/28.44/33.93QPS，不当作模型吞吐。</w:t>
      </w:r>
    </w:p>
    <w:p>
      <w:pPr>
        <w:spacing w:after="160" w:line="300" w:lineRule="auto"/>
      </w:pPr>
      <w:r>
        <w:t>优化优先顺序：缓存Schema/向量、预热模型、索引和限定候选，再控制工具调用与上下文长度。API计费和端到端token成本因401尚未实测，不给虚构费用。</w:t>
      </w:r>
    </w:p>
    <w:p>
      <w:pPr>
        <w:pStyle w:val="Heading1"/>
        <w:spacing w:after="160" w:line="300" w:lineRule="auto"/>
      </w:pPr>
      <w:r>
        <w:t>交付与部署</w:t>
      </w:r>
    </w:p>
    <w:p>
      <w:pPr>
        <w:spacing w:after="160" w:line="300" w:lineRule="auto"/>
      </w:pPr>
      <w:r>
        <w:t>完整资产包包含源码、Schema、15份实际样本、公开BGE权重、Chinook与许可。runtime凭据、日志、缓存及基线ZIP不进入交付包。依赖锁定文件记录当前实测环境，跨平台安装仍需对应平台wheel。</w:t>
      </w:r>
    </w:p>
    <w:p>
      <w:pPr>
        <w:spacing w:after="160" w:line="300" w:lineRule="auto"/>
      </w:pPr>
      <w:r>
        <w:t>启动：python -m pip install -r delivery/requirements-tested.txt；python tools/run_server.py --port 8030。打开首页、knowledge.html和capabilities.html。API模式先probe通过，再加--with-model；未通过时保留显式规则/摘录模式。</w:t>
      </w:r>
    </w:p>
    <w:p>
      <w:pPr>
        <w:spacing w:after="160" w:line="300" w:lineRule="auto"/>
      </w:pPr>
      <w:r>
        <w:t>验包工具核对逐文件SHA，在全新目录解包并重建数据库、样本入库、随机端口启动，验证health、前端、SQL、Dense、RAG与OCR。当前检查点通过，最终材料加入后需再次验包。</w:t>
      </w:r>
    </w:p>
    <w:p>
      <w:pPr>
        <w:spacing w:after="160" w:line="300" w:lineRule="auto"/>
      </w:pPr>
      <w:r>
        <w:t>组委会Word/PPT模板尚未提供，本材料采用匿名自定义排版，不声称已套用官方模板。最终提交前应按届时模板迁移，并补录真实模型及保留集结果。</w:t>
      </w:r>
    </w:p>
    <w:sectPr w:rsidR="00FC693F" w:rsidRPr="0006063C" w:rsidSect="00034616">
      <w:footerReference w:type="default" r:id="rId9"/>
      <w:pgSz w:w="11906" w:h="16838"/>
      <w:pgMar w:top="1049" w:right="1134" w:bottom="1049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OmniAgent · ICT 赛题八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设计报告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