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160" w:line="300" w:lineRule="auto"/>
      </w:pPr>
      <w:r>
        <w:t>多模态数据驱动的可解释精准问数问答智能体</w:t>
      </w:r>
    </w:p>
    <w:p/>
    <w:p/>
    <w:p/>
    <w:p>
      <w:pPr>
        <w:pStyle w:val="Title"/>
        <w:spacing w:after="160" w:line="300" w:lineRule="auto"/>
      </w:pPr>
      <w:r>
        <w:t>OmniAgent</w:t>
      </w:r>
    </w:p>
    <w:p>
      <w:pPr>
        <w:pStyle w:val="Heading1"/>
        <w:spacing w:after="160" w:line="300" w:lineRule="auto"/>
      </w:pPr>
      <w:r>
        <w:t>突破与创新性自述</w:t>
      </w:r>
    </w:p>
    <w:p>
      <w:pPr>
        <w:spacing w:after="160" w:line="300" w:lineRule="auto"/>
      </w:pPr>
      <w:r>
        <w:t>实用创新与转化价值 · 当前可核验贡献</w:t>
      </w:r>
    </w:p>
    <w:p>
      <w:pPr>
        <w:spacing w:after="160" w:line="300" w:lineRule="auto"/>
      </w:pPr>
      <w:r>
        <w:t>版本日期：2026-10-01</w:t>
        <w:br/>
        <w:t>匿名技术材料 · 依据官方赛题与当前实际运行证据</w:t>
      </w:r>
    </w:p>
    <w:p>
      <w:pPr>
        <w:spacing w:after="160" w:line="300" w:lineRule="auto"/>
      </w:pPr>
      <w:r>
        <w:t>阅读边界：本地开发验收与真实模型验收分别呈现。指定模型 gpt-6-luna 尚未通过鉴权；本文不把规则回退称为模型成功，不将开发题成绩换算为官方成绩。</w:t>
      </w:r>
    </w:p>
    <w:p>
      <w:r>
        <w:br w:type="page"/>
      </w:r>
    </w:p>
    <w:p>
      <w:pPr>
        <w:pStyle w:val="Heading1"/>
        <w:spacing w:after="160" w:line="300" w:lineRule="auto"/>
      </w:pPr>
      <w:r>
        <w:t>定位与核心贡献</w:t>
      </w:r>
    </w:p>
    <w:p>
      <w:pPr>
        <w:spacing w:after="160" w:line="300" w:lineRule="auto"/>
      </w:pPr>
      <w:r>
        <w:t>申报方向：实用创新与转化价值。当前没有公开最优结果的充分对比证据，不申报已经证明的技术领先性。</w:t>
      </w:r>
    </w:p>
    <w:p>
      <w:pPr>
        <w:spacing w:after="160" w:line="300" w:lineRule="auto"/>
      </w:pPr>
      <w:r>
        <w:t>核心贡献是可计算证据契约：公式来自文档，参数来自SQL或单元格，单位与年份必须一致，政策按生效日期选择。每项输入可回看到原始来源，冲突时停止而不拼凑答案。</w:t>
      </w:r>
    </w:p>
    <w:p>
      <w:pPr>
        <w:spacing w:after="160" w:line="300" w:lineRule="auto"/>
      </w:pPr>
      <w:r>
        <w:t>目标场景为企业问数与文档口径共同决定答案的流程。单独的SQL或检索都不足以可靠回答“按新政策、用当年参数预测”的问题。</w:t>
      </w:r>
    </w:p>
    <w:p>
      <w:pPr>
        <w:spacing w:after="160" w:line="300" w:lineRule="auto"/>
      </w:pPr>
      <w:r>
        <w:t>有界依赖执行器将这些要求落实为可检查的工具接口，最多16步，并为故障、歧义与无依据结果提供明确状态。</w:t>
      </w:r>
    </w:p>
    <w:p>
      <w:pPr>
        <w:pStyle w:val="Heading1"/>
        <w:spacing w:after="160" w:line="300" w:lineRule="auto"/>
      </w:pPr>
      <w:r>
        <w:t>举证材料与成对对照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证据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结果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问数开发验收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规则规划、合成开发题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多格式问答开发验收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11/11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混合检索、原文摘录与引用核对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跨源工具链开发验收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5/5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明确工具计划，非未知模型规划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公开Chinook开发题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公开库，人工题，非Spider基准</w:t>
            </w:r>
          </w:p>
        </w:tc>
      </w:tr>
    </w:tbl>
    <w:p>
      <w:pPr>
        <w:spacing w:after="160" w:line="300" w:lineRule="auto"/>
      </w:pPr>
      <w:r>
        <w:t>OCR原图8/10与增强10/10来自同一组十种合成扰动；编号守卫来自500页检索中实际暴露的错编号；年份守卫来自跨源预测边界。</w:t>
      </w:r>
    </w:p>
    <w:p>
      <w:pPr>
        <w:spacing w:after="160" w:line="300" w:lineRule="auto"/>
      </w:pPr>
      <w:r>
        <w:t>同一组十项实际临时副本故障首次4/10，修复后10/10；原文件篡改或缺失停止旧切片与公式链，SQL缺库/锁定停止后步，硬kill子服务重启后五轮和pending澄清继续，会话锁503后解锁保留原历史。仅为开发审计，不代表掉电容灾。</w:t>
      </w:r>
    </w:p>
    <w:p>
      <w:pPr>
        <w:spacing w:after="160" w:line="300" w:lineRule="auto"/>
      </w:pPr>
      <w:r>
        <w:t>上述证据证明实现可以复现并具备可解释失败路径，不能证明业界领先。独立保留题、公开复杂OCR和模型规划仍待验证。</w:t>
      </w:r>
    </w:p>
    <w:p>
      <w:pPr>
        <w:pStyle w:val="Heading1"/>
        <w:spacing w:after="160" w:line="300" w:lineRule="auto"/>
      </w:pPr>
      <w:r>
        <w:t>场景适配 效率与价值边界</w:t>
      </w:r>
    </w:p>
    <w:p>
      <w:pPr>
        <w:spacing w:after="160" w:line="300" w:lineRule="auto"/>
      </w:pPr>
      <w:r>
        <w:t>系统可在本地CPU进行公开BGE检索与真实OCR，默认规则/摘录允许无API演示。内容寻址、版本清单和精确依赖降低交付时“只在开发电脑可跑”的风险。</w:t>
      </w:r>
    </w:p>
    <w:p>
      <w:pPr>
        <w:spacing w:after="160" w:line="300" w:lineRule="auto"/>
      </w:pPr>
      <w:r>
        <w:t>500页全局语义热P50=523.822ms、P95=618.806ms，首次全局回答5.390s。数据规模、首次全局编码和热缓存分开，首次全局并不是新进程完整冷启动；不含OCR。模型生成耗时及费用尚未实测。</w:t>
      </w:r>
    </w:p>
    <w:p>
      <w:pPr>
        <w:spacing w:after="160" w:line="300" w:lineRule="auto"/>
      </w:pPr>
      <w:r>
        <w:t>潜在价值是降低数值与口径错配、提升复查效率；当前没有真实用户节省工时或营收改善证据，不给虚构商业收益。</w:t>
      </w:r>
    </w:p>
    <w:p>
      <w:pPr>
        <w:spacing w:after="160" w:line="300" w:lineRule="auto"/>
      </w:pPr>
      <w:r>
        <w:t>评审价值在于来源、计算与失败边界可验证，而非仅展示流畅回答。未来应通过真实授权数据、独立盲测与用户任务时长证明转化收益。</w:t>
      </w:r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OmniAgent · ICT 赛题八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突破与创新性自述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