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after="160" w:line="300" w:lineRule="auto"/>
      </w:pPr>
      <w:r>
        <w:t>多模态数据驱动的可解释精准问数问答智能体</w:t>
      </w:r>
    </w:p>
    <w:p/>
    <w:p/>
    <w:p/>
    <w:p>
      <w:pPr>
        <w:pStyle w:val="Title"/>
        <w:spacing w:after="160" w:line="300" w:lineRule="auto"/>
      </w:pPr>
      <w:r>
        <w:t>OmniAgent</w:t>
      </w:r>
    </w:p>
    <w:p>
      <w:pPr>
        <w:pStyle w:val="Heading1"/>
        <w:spacing w:after="160" w:line="300" w:lineRule="auto"/>
      </w:pPr>
      <w:r>
        <w:t>决赛深化技术文档 准备稿</w:t>
      </w:r>
    </w:p>
    <w:p>
      <w:pPr>
        <w:spacing w:after="160" w:line="300" w:lineRule="auto"/>
      </w:pPr>
      <w:r>
        <w:t>多源推理、可靠性、实验设计与提交门槛</w:t>
      </w:r>
    </w:p>
    <w:p>
      <w:pPr>
        <w:spacing w:after="160" w:line="300" w:lineRule="auto"/>
      </w:pPr>
      <w:r>
        <w:t>版本日期：2026-10-01</w:t>
        <w:br/>
        <w:t>匿名技术材料 · 依据官方赛题与当前实际运行证据</w:t>
      </w:r>
    </w:p>
    <w:p>
      <w:pPr>
        <w:spacing w:after="160" w:line="300" w:lineRule="auto"/>
      </w:pPr>
      <w:r>
        <w:t>阅读边界：本地开发验收与真实模型验收分别呈现。指定模型 gpt-6-luna 尚未通过鉴权；本文不把规则回退称为模型成功，不将开发题成绩换算为官方成绩。</w:t>
      </w:r>
    </w:p>
    <w:p>
      <w:r>
        <w:br w:type="page"/>
      </w:r>
    </w:p>
    <w:p>
      <w:pPr>
        <w:pStyle w:val="Heading1"/>
        <w:spacing w:after="160" w:line="300" w:lineRule="auto"/>
      </w:pPr>
      <w:r>
        <w:t>决赛深化范围与证据等级</w:t>
      </w:r>
    </w:p>
    <w:p>
      <w:pPr>
        <w:spacing w:after="160" w:line="300" w:lineRule="auto"/>
      </w:pPr>
      <w:r>
        <w:t>本材料是当前实现的决赛技术深化准备稿，不假称已经收到初赛评审反馈。最终版应补充真实评委意见、逐项响应与新增实验。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118"/>
        <w:gridCol w:w="4365"/>
      </w:tblGrid>
      <w:tr>
        <w:trPr>
          <w:cantSplit/>
          <w:tblHeader/>
        </w:trPr>
        <w:tc>
          <w:tcPr>
            <w:tcW w:type="dxa" w:w="2154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等级</w:t>
            </w:r>
          </w:p>
        </w:tc>
        <w:tc>
          <w:tcPr>
            <w:tcW w:type="dxa" w:w="3118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定义</w:t>
            </w:r>
          </w:p>
        </w:tc>
        <w:tc>
          <w:tcPr>
            <w:tcW w:type="dxa" w:w="4365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当前情况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实现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源码存在且通过契约回归</w:t>
            </w:r>
          </w:p>
        </w:tc>
        <w:tc>
          <w:tcPr>
            <w:tcW w:type="dxa" w:w="4365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九类中级能力与融合执行器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开发验收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已知输入与金标实测</w:t>
            </w:r>
          </w:p>
        </w:tc>
        <w:tc>
          <w:tcPr>
            <w:tcW w:type="dxa" w:w="4365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SQL、QA、融合、Chinook与扰动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独立效果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保留题或公开标准协议</w:t>
            </w:r>
          </w:p>
        </w:tc>
        <w:tc>
          <w:tcPr>
            <w:tcW w:type="dxa" w:w="4365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尚未提供完整成绩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真实模型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指定接口成功且无回退</w:t>
            </w:r>
          </w:p>
        </w:tc>
        <w:tc>
          <w:tcPr>
            <w:tcW w:type="dxa" w:w="4365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gpt-6-luna鉴权401</w:t>
            </w:r>
          </w:p>
        </w:tc>
      </w:tr>
    </w:tbl>
    <w:p>
      <w:pPr>
        <w:spacing w:after="160" w:line="300" w:lineRule="auto"/>
      </w:pPr>
      <w:r>
        <w:t>评委可以在验收工作台逐项回看证据，所有指标附范围；不把覆盖数量、开发题通过率和奖项预期混在一起。</w:t>
      </w:r>
    </w:p>
    <w:p>
      <w:pPr>
        <w:pStyle w:val="Heading1"/>
        <w:spacing w:after="160" w:line="300" w:lineRule="auto"/>
      </w:pPr>
      <w:r>
        <w:t>多源任务组合与现场路线</w:t>
      </w:r>
    </w:p>
    <w:p>
      <w:pPr>
        <w:spacing w:after="160" w:line="300" w:lineRule="auto"/>
      </w:pPr>
      <w:r>
        <w:t>五种已通过的跨源流程包含文档公式+SQL客单价、PDF+SQL+Excel预测、Excel地区→SQL、SQL排名→文档冠军经验和文档检索+Excel阈值。政策版本比较是额外边界案例。trace核对前步结果对后步的实际影响。</w:t>
      </w:r>
    </w:p>
    <w:p>
      <w:pPr>
        <w:spacing w:after="160" w:line="300" w:lineRule="auto"/>
      </w:pPr>
      <w:r>
        <w:t>主路线：自然语言问数→文档解释→三源预测→故意错年份→政策新旧日期→澄清选择→五轮条件变化。失败案例和正常案例同屏展示。</w:t>
      </w:r>
    </w:p>
    <w:p>
      <w:pPr>
        <w:spacing w:after="160" w:line="300" w:lineRule="auto"/>
      </w:pPr>
      <w:r>
        <w:t>当前工具计划可运行；通用模型计划仍需指定接口恢复后验证。现场无API时明确进入规则/摘录演示，不使用预录模型答案冒充在线结果。</w:t>
      </w:r>
    </w:p>
    <w:p>
      <w:pPr>
        <w:pStyle w:val="Heading1"/>
        <w:spacing w:after="160" w:line="300" w:lineRule="auto"/>
      </w:pPr>
      <w:r>
        <w:t>可计算证据与时间一致性</w:t>
      </w:r>
    </w:p>
    <w:p>
      <w:pPr>
        <w:spacing w:after="160" w:line="300" w:lineRule="auto"/>
      </w:pPr>
      <w:r>
        <w:t>三源预测必须具有文档公式、SQL基准数值与参数表适用年。每项带locator和SHA，计算器保留AST与引用。</w:t>
      </w:r>
    </w:p>
    <w:p>
      <w:pPr>
        <w:spacing w:after="160" w:line="300" w:lineRule="auto"/>
      </w:pPr>
      <w:r>
        <w:t>29584×(1+12%)=33134.08为合成验收例子；若目标年/基准年/SQL全年窗口不匹配，返回incomplete。未知年份标not_inferred，不默认为验证通过。</w:t>
      </w:r>
    </w:p>
    <w:p>
      <w:pPr>
        <w:spacing w:after="160" w:line="300" w:lineRule="auto"/>
      </w:pPr>
      <w:r>
        <w:t>政策版本按问题日期选择已生效条款；重叠条款不能靠最新文档名猜测。退货期限5日和7日已作边界比较，依赖日期证据而不是文件排序。</w:t>
      </w:r>
    </w:p>
    <w:p>
      <w:pPr>
        <w:pStyle w:val="Heading1"/>
        <w:spacing w:after="160" w:line="300" w:lineRule="auto"/>
      </w:pPr>
      <w:r>
        <w:t>可靠性深化 拒绝也是正确行为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118"/>
        <w:gridCol w:w="4365"/>
      </w:tblGrid>
      <w:tr>
        <w:trPr>
          <w:cantSplit/>
          <w:tblHeader/>
        </w:trPr>
        <w:tc>
          <w:tcPr>
            <w:tcW w:type="dxa" w:w="2154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故障</w:t>
            </w:r>
          </w:p>
        </w:tc>
        <w:tc>
          <w:tcPr>
            <w:tcW w:type="dxa" w:w="3118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期望行为</w:t>
            </w:r>
          </w:p>
        </w:tc>
        <w:tc>
          <w:tcPr>
            <w:tcW w:type="dxa" w:w="4365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未知实体编号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无证据，不用近似编号</w:t>
            </w:r>
          </w:p>
        </w:tc>
        <w:tc>
          <w:tcPr>
            <w:tcW w:type="dxa" w:w="4365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编号边界回归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参数缺失/零分母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不输出最终数值</w:t>
            </w:r>
          </w:p>
        </w:tc>
        <w:tc>
          <w:tcPr>
            <w:tcW w:type="dxa" w:w="4365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DAG与AST测试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JOIN粒度不符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澄清或拒绝</w:t>
            </w:r>
          </w:p>
        </w:tc>
        <w:tc>
          <w:tcPr>
            <w:tcW w:type="dxa" w:w="4365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复合键/防扇出测试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币种冲突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停止计算</w:t>
            </w:r>
          </w:p>
        </w:tc>
        <w:tc>
          <w:tcPr>
            <w:tcW w:type="dxa" w:w="4365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单位契约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API鉴权失败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明确回退或停止</w:t>
            </w:r>
          </w:p>
        </w:tc>
        <w:tc>
          <w:tcPr>
            <w:tcW w:type="dxa" w:w="4365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401脱敏探测</w:t>
            </w:r>
          </w:p>
        </w:tc>
      </w:tr>
    </w:tbl>
    <w:p>
      <w:pPr>
        <w:spacing w:after="160" w:line="300" w:lineRule="auto"/>
      </w:pPr>
      <w:r>
        <w:t>同一组十项实际临时副本故障首次4/10，修复后10/10；原文件篡改或缺失停止旧切片与公式链，SQL缺库/锁定停止后步，硬kill子服务重启后五轮和pending澄清继续，会话锁503后解锁保留原历史。仅为开发审计，不代表掉电容灾。</w:t>
      </w:r>
    </w:p>
    <w:p>
      <w:pPr>
        <w:spacing w:after="160" w:line="300" w:lineRule="auto"/>
      </w:pPr>
      <w:r>
        <w:t>正确拒绝率和错误拒绝率应在后续独立题集分别报告。仅测正常路径会掩盖系统在数据冲突时生成自信错误的风险。</w:t>
      </w:r>
    </w:p>
    <w:p>
      <w:pPr>
        <w:pStyle w:val="Heading1"/>
        <w:spacing w:after="160" w:line="300" w:lineRule="auto"/>
      </w:pPr>
      <w:r>
        <w:t>检索深化 语义召回与实体边界</w:t>
      </w:r>
    </w:p>
    <w:p>
      <w:pPr>
        <w:spacing w:after="160" w:line="300" w:lineRule="auto"/>
      </w:pPr>
      <w:r>
        <w:t>Dense可以弥补纯词匹配，但近似编号和不同政策版本必须额外控制。实体约束与时间约束先限定可比证据，RRF再在合法范围中融合。</w:t>
      </w:r>
    </w:p>
    <w:p>
      <w:pPr>
        <w:spacing w:after="160" w:line="300" w:lineRule="auto"/>
      </w:pPr>
      <w:r>
        <w:t>第一次500页评测暴露了错误合同编号，已通过精确编号守卫修复。这项修复说明需要错误案例反馈，不意味着Dense所有语义检索问题已经解决。</w:t>
      </w:r>
    </w:p>
    <w:p>
      <w:pPr>
        <w:spacing w:after="160" w:line="300" w:lineRule="auto"/>
      </w:pPr>
      <w:r>
        <w:t>编号和无编号全局语义评测分开。500页全局语义热P50=523.822ms、P95=618.806ms，首次全局回答5.390s。来源选中后核验；首次全局、首载模型与热缓存单列，不以编号快速路径替代一般语义延迟。新旧环境/缓存不同，不宣称固定倍数加速。</w:t>
      </w:r>
    </w:p>
    <w:p>
      <w:pPr>
        <w:pStyle w:val="Heading1"/>
        <w:spacing w:after="160" w:line="300" w:lineRule="auto"/>
      </w:pPr>
      <w:r>
        <w:t>低质量文档的证据保留</w:t>
      </w:r>
    </w:p>
    <w:p>
      <w:pPr>
        <w:spacing w:after="160" w:line="300" w:lineRule="auto"/>
      </w:pPr>
      <w:r>
        <w:t>OCR返回识别原文、区域、confidence与变换历史，允许回看原图。三次尝试的选择规则保留原始候选，避免增强覆盖正确识别。</w:t>
      </w:r>
    </w:p>
    <w:p>
      <w:pPr>
        <w:spacing w:after="160" w:line="300" w:lineRule="auto"/>
      </w:pPr>
      <w:r>
        <w:t>合成成对扰动8/10→10/10仅为开发证据。下一阶段需要真实拍照、倾斜、污损、表格错行与不同扫描仪，按文档分组拆分，防止同一页的不同扰动跨越训练与测试。</w:t>
      </w:r>
    </w:p>
    <w:p>
      <w:pPr>
        <w:spacing w:after="160" w:line="300" w:lineRule="auto"/>
      </w:pPr>
      <w:r>
        <w:t>评价应包含字符错误率、关键数字准确率、引用定位与下游问答结果。平均置信度只用于候选排序，不作为最终准确率。</w:t>
      </w:r>
    </w:p>
    <w:p>
      <w:pPr>
        <w:pStyle w:val="Heading1"/>
        <w:spacing w:after="160" w:line="300" w:lineRule="auto"/>
      </w:pPr>
      <w:r>
        <w:t>未知题与消融实验方案</w:t>
      </w:r>
    </w:p>
    <w:p>
      <w:pPr>
        <w:spacing w:after="160" w:line="300" w:lineRule="auto"/>
      </w:pPr>
      <w:r>
        <w:t>冻结保留题：问数按未见Schema、表达和SQL结构划分；文档按未见原文件划分；融合按未见依赖组合划分。金标在实验前固定，并标明制定者与来源。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118"/>
        <w:gridCol w:w="4365"/>
      </w:tblGrid>
      <w:tr>
        <w:trPr>
          <w:cantSplit/>
          <w:tblHeader/>
        </w:trPr>
        <w:tc>
          <w:tcPr>
            <w:tcW w:type="dxa" w:w="2154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消融</w:t>
            </w:r>
          </w:p>
        </w:tc>
        <w:tc>
          <w:tcPr>
            <w:tcW w:type="dxa" w:w="3118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比较对象</w:t>
            </w:r>
          </w:p>
        </w:tc>
        <w:tc>
          <w:tcPr>
            <w:tcW w:type="dxa" w:w="4365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指标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移除Dense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BM25与混合检索</w:t>
            </w:r>
          </w:p>
        </w:tc>
        <w:tc>
          <w:tcPr>
            <w:tcW w:type="dxa" w:w="4365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Recall@k、来源准确率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移除编号守卫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近似编号冲突题</w:t>
            </w:r>
          </w:p>
        </w:tc>
        <w:tc>
          <w:tcPr>
            <w:tcW w:type="dxa" w:w="4365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误引用率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移除年份/单位守卫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冲突融合题</w:t>
            </w:r>
          </w:p>
        </w:tc>
        <w:tc>
          <w:tcPr>
            <w:tcW w:type="dxa" w:w="4365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危险计算率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关闭OCR增强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同文档成对扰动</w:t>
            </w:r>
          </w:p>
        </w:tc>
        <w:tc>
          <w:tcPr>
            <w:tcW w:type="dxa" w:w="4365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关键事实正确率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关闭结构会话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五轮条件变化</w:t>
            </w:r>
          </w:p>
        </w:tc>
        <w:tc>
          <w:tcPr>
            <w:tcW w:type="dxa" w:w="4365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每轮执行准确率</w:t>
            </w:r>
          </w:p>
        </w:tc>
      </w:tr>
    </w:tbl>
    <w:p>
      <w:pPr>
        <w:spacing w:after="160" w:line="300" w:lineRule="auto"/>
      </w:pPr>
      <w:r>
        <w:t>这些是待执行的实验方案，不预填增益或显著性。无需宣称优于公开SOTA；先证明对目标场景的可复现效益。</w:t>
      </w:r>
    </w:p>
    <w:p>
      <w:pPr>
        <w:pStyle w:val="Heading1"/>
        <w:spacing w:after="160" w:line="300" w:lineRule="auto"/>
      </w:pPr>
      <w:r>
        <w:t>部署 成本与生产前置</w:t>
      </w:r>
    </w:p>
    <w:p>
      <w:pPr>
        <w:spacing w:after="160" w:line="300" w:lineRule="auto"/>
      </w:pPr>
      <w:r>
        <w:t>当前包含本地95,827,648字节BGE权重与Chinook，在线生成依赖指定API。CPU检索可独立运行；OCR与模型首载占用单独统计。</w:t>
      </w:r>
    </w:p>
    <w:p>
      <w:pPr>
        <w:spacing w:after="160" w:line="300" w:lineRule="auto"/>
      </w:pPr>
      <w:r>
        <w:t>生产前需要数据权限、租户隔离、审计、配置轮换、限流与故障恢复。现有只读SQL和开发本机绑定解决执行边界，不等同数据库所有表都可以向所有用户开放。</w:t>
      </w:r>
    </w:p>
    <w:p>
      <w:pPr>
        <w:spacing w:after="160" w:line="300" w:lineRule="auto"/>
      </w:pPr>
      <w:r>
        <w:t>API成本当前未取得有效usage，后续按每题token、工具调用次数、缓存命中及重试统计。压缩包验收使用已有Python环境，不是无依赖离线安装镜像。</w:t>
      </w:r>
    </w:p>
    <w:p>
      <w:pPr>
        <w:pStyle w:val="Heading1"/>
        <w:spacing w:after="160" w:line="300" w:lineRule="auto"/>
      </w:pPr>
      <w:r>
        <w:t>材料依据与最终提交门槛</w:t>
      </w:r>
    </w:p>
    <w:p>
      <w:pPr>
        <w:spacing w:after="160" w:line="300" w:lineRule="auto"/>
      </w:pPr>
      <w:r>
        <w:t>全部量化结论对应docs中的原始JSON，delivery/SOURCE_MANIFEST.json保存本轮材料来源SHA。报告和PPT不包含用户名、单位、密钥或真实客户信息。</w:t>
      </w:r>
    </w:p>
    <w:p>
      <w:pPr>
        <w:spacing w:after="160" w:line="300" w:lineRule="auto"/>
      </w:pPr>
      <w:r>
        <w:t>最终提交门槛：有效gpt-6-luna实测；五类跨源与五轮模型验收；独立保留集；依赖锁；材料页数与匿名检查；完整资产新目录启动；逐文件哈希；官方模板检查。</w:t>
      </w:r>
    </w:p>
    <w:p>
      <w:pPr>
        <w:spacing w:after="160" w:line="300" w:lineRule="auto"/>
      </w:pPr>
      <w:r>
        <w:t>当前已经实现的能力可以演示，但这些未完成门槛必须如实列明。正式定稿更新资料与实验数据后重新生成材料和压缩包，不能沿用过期报告。</w:t>
      </w:r>
    </w:p>
    <w:sectPr w:rsidR="00FC693F" w:rsidRPr="0006063C" w:rsidSect="00034616">
      <w:footerReference w:type="default" r:id="rId9"/>
      <w:pgSz w:w="11906" w:h="16838"/>
      <w:pgMar w:top="1049" w:right="1134" w:bottom="104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OmniAgent · ICT 赛题八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决赛深化技术文档（准备稿）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