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after="160" w:line="300" w:lineRule="auto"/>
      </w:pPr>
      <w:r>
        <w:t>多模态数据驱动的可解释精准问数问答智能体</w:t>
      </w:r>
    </w:p>
    <w:p/>
    <w:p/>
    <w:p/>
    <w:p>
      <w:pPr>
        <w:pStyle w:val="Title"/>
        <w:spacing w:after="160" w:line="300" w:lineRule="auto"/>
      </w:pPr>
      <w:r>
        <w:t>OmniAgent</w:t>
      </w:r>
    </w:p>
    <w:p>
      <w:pPr>
        <w:pStyle w:val="Heading1"/>
        <w:spacing w:after="160" w:line="300" w:lineRule="auto"/>
      </w:pPr>
      <w:r>
        <w:t>技术实现说明书</w:t>
      </w:r>
    </w:p>
    <w:p>
      <w:pPr>
        <w:spacing w:after="160" w:line="300" w:lineRule="auto"/>
      </w:pPr>
      <w:r>
        <w:t>模块契约、实现机制、评测与复现</w:t>
      </w:r>
    </w:p>
    <w:p>
      <w:pPr>
        <w:spacing w:after="160" w:line="300" w:lineRule="auto"/>
      </w:pPr>
      <w:r>
        <w:t>版本日期：2026-10-01</w:t>
        <w:br/>
        <w:t>匿名技术材料 · 依据官方赛题与当前实际运行证据</w:t>
      </w:r>
    </w:p>
    <w:p>
      <w:pPr>
        <w:spacing w:after="160" w:line="300" w:lineRule="auto"/>
      </w:pPr>
      <w:r>
        <w:t>阅读边界：本地开发验收与真实模型验收分别呈现。指定模型 gpt-6-luna 尚未通过鉴权；本文不把规则回退称为模型成功，不将开发题成绩换算为官方成绩。</w:t>
      </w:r>
    </w:p>
    <w:p>
      <w:r>
        <w:br w:type="page"/>
      </w:r>
    </w:p>
    <w:p>
      <w:pPr>
        <w:pStyle w:val="Heading1"/>
        <w:spacing w:after="160" w:line="300" w:lineRule="auto"/>
      </w:pPr>
      <w:r>
        <w:t>系统架构与运行模式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模块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源码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契约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结构化问数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backend/nl2sql/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Schema与值链接→计划→安全SQL→只读执行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文档知识库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knowledge_store.py / chunk_cleaning.py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原文件SHA→解析/OCR→有定位的切片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混合检索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dense_retrieval.py / cross_source.py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BM25与本地BGE→RRF→编号/证据门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跨源推理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dependency_agent.py / formula_binding.py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有界依赖计划→来源数值→公式与单位核验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可信生成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grounded_generation.py / responses_client.py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结构化claims→原文引用与数字核对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持续会话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session.py / omni_agent.py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结构化槽位→五轮上下文→主题清空</w:t>
            </w:r>
          </w:p>
        </w:tc>
      </w:tr>
    </w:tbl>
    <w:p>
      <w:pPr>
        <w:spacing w:after="160" w:line="300" w:lineRule="auto"/>
      </w:pPr>
      <w:r>
        <w:t>FastAPI提供统一同源接口，开发服务绑定127.0.0.1；前端不读取密钥。用户通过omni/query进入结构化SQL、文档或融合计划。规则模式、模型模式和回退状态在返回结果中区分。</w:t>
      </w:r>
    </w:p>
    <w:p>
      <w:pPr>
        <w:pStyle w:val="Heading1"/>
        <w:spacing w:after="160" w:line="300" w:lineRule="auto"/>
      </w:pPr>
      <w:r>
        <w:t>Schema Linking与要素识别</w:t>
      </w:r>
    </w:p>
    <w:p>
      <w:pPr>
        <w:spacing w:after="160" w:line="300" w:lineRule="auto"/>
      </w:pPr>
      <w:r>
        <w:t>backend/nl2sql读取SQLite元数据，构建表字段与主外键图；值词与字段别名共同产生候选。列名采用NFKC归一化，保留原始SQL标识符并统一引用，避免中文/英文或全角输入导致不可执行。</w:t>
      </w:r>
    </w:p>
    <w:p>
      <w:pPr>
        <w:spacing w:after="160" w:line="300" w:lineRule="auto"/>
      </w:pPr>
      <w:r>
        <w:t>显式字段优先，长字段优先于短字段；主题日期与业务时间槽位分别处理。对于“金额”“数量”等宽泛指标先展示候选而非擅选。值边界避免词中片段命中错误实体。</w:t>
      </w:r>
    </w:p>
    <w:p>
      <w:pPr>
        <w:spacing w:after="160" w:line="300" w:lineRule="auto"/>
      </w:pPr>
      <w:r>
        <w:t>11/40/80表的9个开发测试核对选择的表、字段、结果，Schema干扰并非真实企业80表基准。角色关联与同名列的泛化仍需要额外盲测。</w:t>
      </w:r>
    </w:p>
    <w:p>
      <w:pPr>
        <w:pStyle w:val="Heading1"/>
        <w:spacing w:after="160" w:line="300" w:lineRule="auto"/>
      </w:pPr>
      <w:r>
        <w:t>查询计划、JOIN与SQL验证</w:t>
      </w:r>
    </w:p>
    <w:p>
      <w:pPr>
        <w:spacing w:after="160" w:line="300" w:lineRule="auto"/>
      </w:pPr>
      <w:r>
        <w:t>自然语言解析得到可校验结构化计划：目标指标、聚合、分组、时间窗口、过滤与关系路径。模型仅提交受限结构，编译器处理参数化值，禁止模型生成SQL绕过编译。</w:t>
      </w:r>
    </w:p>
    <w:p>
      <w:pPr>
        <w:spacing w:after="160" w:line="300" w:lineRule="auto"/>
      </w:pPr>
      <w:r>
        <w:t>关系图检查完整复合键和连接方向。聚合前确认事实表粒度，拒绝会让数值复制的JOIN；多种同等关系时请求澄清。去重计数与合计保持不同语义。</w:t>
      </w:r>
    </w:p>
    <w:p>
      <w:pPr>
        <w:spacing w:after="160" w:line="300" w:lineRule="auto"/>
      </w:pPr>
      <w:r>
        <w:t>SQL AST和只读连接拒绝DDL/DML、多语句、未批准字段及危险结构；限制行数和执行时间。空结果作为有效结果状态，区别于数据库错误或缺少证据。</w:t>
      </w:r>
    </w:p>
    <w:p>
      <w:pPr>
        <w:spacing w:after="160" w:line="300" w:lineRule="auto"/>
      </w:pPr>
      <w:r>
        <w:t>用金标SQL执行结果核对，而不是词面模板吻合。Chinook12道题覆盖已知场景，复杂任意SQL生成能力尚未取得独立评测成绩。</w:t>
      </w:r>
    </w:p>
    <w:p>
      <w:pPr>
        <w:pStyle w:val="Heading1"/>
        <w:spacing w:after="160" w:line="300" w:lineRule="auto"/>
      </w:pPr>
      <w:r>
        <w:t>澄清与持久会话</w:t>
      </w:r>
    </w:p>
    <w:p>
      <w:pPr>
        <w:spacing w:after="160" w:line="300" w:lineRule="auto"/>
      </w:pPr>
      <w:r>
        <w:t>nl2sql/clarify接收明确候选选择并回填计划。澄清针对会改变结果的字段、单位、时间或连接歧义；安全错误不得通过用户随意点击绕过。</w:t>
      </w:r>
    </w:p>
    <w:p>
      <w:pPr>
        <w:spacing w:after="160" w:line="300" w:lineRule="auto"/>
      </w:pPr>
      <w:r>
        <w:t>session.py以SQLite保存结构化槽位与最近五轮状态，设置TTL与容量；重启可以恢复。新主题清空不适用条件，短跟进输入替换条件，不把全部历史自然语言简单拼接。</w:t>
      </w:r>
    </w:p>
    <w:p>
      <w:pPr>
        <w:spacing w:after="160" w:line="300" w:lineRule="auto"/>
      </w:pPr>
      <w:r>
        <w:t>网页已经完成五轮地区/年份/指标替换，结果29584→22992→4998→1→1。该序列是合成规则模式演示，不代表多源模型五轮未知题已经全部通过。</w:t>
      </w:r>
    </w:p>
    <w:p>
      <w:pPr>
        <w:pStyle w:val="Heading1"/>
        <w:spacing w:after="160" w:line="300" w:lineRule="auto"/>
      </w:pPr>
      <w:r>
        <w:t>文件解析、结构与切片</w:t>
      </w:r>
    </w:p>
    <w:p>
      <w:pPr>
        <w:spacing w:after="160" w:line="300" w:lineRule="auto"/>
      </w:pPr>
      <w:r>
        <w:t>knowledge_store.py保存文档元数据、内容地址与切片。支持PDF、DOCX、XLSX、TXT、MD、PNG；先检查格式、大小与解析并发，再进入格式专用解析器。</w:t>
      </w:r>
    </w:p>
    <w:p>
      <w:pPr>
        <w:spacing w:after="160" w:line="300" w:lineRule="auto"/>
      </w:pPr>
      <w:r>
        <w:t>text_structure.py识别Markdown、数字、中文与括号标题，保存行号与父级路径。标题跳跃给出告警，不把规则推断层级标作人工金标。</w:t>
      </w:r>
    </w:p>
    <w:p>
      <w:pPr>
        <w:spacing w:after="160" w:line="300" w:lineRule="auto"/>
      </w:pPr>
      <w:r>
        <w:t>PageSignal记录页上文本、块、图及质量等实际信号，决定解析与切片策略。复杂路径采用900字长度和80字重叠；正文、表格与OCR区域都有对应locator。</w:t>
      </w:r>
    </w:p>
    <w:p>
      <w:pPr>
        <w:spacing w:after="160" w:line="300" w:lineRule="auto"/>
      </w:pPr>
      <w:r>
        <w:t>原文件下载接口在回看前核验SHA。知识库和原始样本都属于本项目，不依赖D盘生产知识库或远程服务。</w:t>
      </w:r>
    </w:p>
    <w:p>
      <w:pPr>
        <w:pStyle w:val="Heading1"/>
        <w:spacing w:after="160" w:line="300" w:lineRule="auto"/>
      </w:pPr>
      <w:r>
        <w:t>OCR与低质量恢复</w:t>
      </w:r>
    </w:p>
    <w:p>
      <w:pPr>
        <w:spacing w:after="160" w:line="300" w:lineRule="auto"/>
      </w:pPr>
      <w:r>
        <w:t>ocr.py使用RapidOCR ONNX CPU识别中文与英文，返回文字、bbox、置信度及变换历史。扫描PDF按页栅格化，图片保留来源。</w:t>
      </w:r>
    </w:p>
    <w:p>
      <w:pPr>
        <w:spacing w:after="160" w:line="300" w:lineRule="auto"/>
      </w:pPr>
      <w:r>
        <w:t>质量判断同时参考图像信号与识别结果。低质量图片即使原始平均confidence偏高也执行有界增强；最多三次尝试，将原图也保留为候选，选择置信度较高的结果。</w:t>
      </w:r>
    </w:p>
    <w:p>
      <w:pPr>
        <w:spacing w:after="160" w:line="300" w:lineRule="auto"/>
      </w:pPr>
      <w:r>
        <w:t>十种成对合成扰动原图8/10，pipeline10/10。固定预期“2小时/24小时”等事实核验，不只比较置信度。该实验非OHR-Bench，样本量不足以给统计泛化保证。</w:t>
      </w:r>
    </w:p>
    <w:p>
      <w:pPr>
        <w:spacing w:after="160" w:line="300" w:lineRule="auto"/>
      </w:pPr>
      <w:r>
        <w:t>风险：高置信错字、表格错行及编号误读仍可能出现。对于影响计算的OCR数值保留原始区域与低置信提示，未知金额不可无来源写入工具参数。</w:t>
      </w:r>
    </w:p>
    <w:p>
      <w:pPr>
        <w:pStyle w:val="Heading1"/>
        <w:spacing w:after="160" w:line="300" w:lineRule="auto"/>
      </w:pPr>
      <w:r>
        <w:t>Dense、BM25与融合检索</w:t>
      </w:r>
    </w:p>
    <w:p>
      <w:pPr>
        <w:spacing w:after="160" w:line="300" w:lineRule="auto"/>
      </w:pPr>
      <w:r>
        <w:t>dense_retrieval.py加载BGE-small-zh-v1.5，revision=7999e1d3359715c523056ef9478215996d62a620，使用safetensors、不允许remote code或pickle加载。CLS向量归一化后执行cosine计算。</w:t>
      </w:r>
    </w:p>
    <w:p>
      <w:pPr>
        <w:spacing w:after="160" w:line="300" w:lineRule="auto"/>
      </w:pPr>
      <w:r>
        <w:t>BM25与Dense结果按RRF融合并保留各路rank/cosine/score。缓存key包含模型revision、标题和内容；更新文档或模型不能误复用旧向量。</w:t>
      </w:r>
    </w:p>
    <w:p>
      <w:pPr>
        <w:spacing w:after="160" w:line="300" w:lineRule="auto"/>
      </w:pPr>
      <w:r>
        <w:t>明确实体编号作为范围约束：CASE0005必须精确出现，CASE00050不满足；不存在的编号返回无证据。这是精确实体守卫，不宣称通用实体链接已解决。</w:t>
      </w:r>
    </w:p>
    <w:p>
      <w:pPr>
        <w:spacing w:after="160" w:line="300" w:lineRule="auto"/>
      </w:pPr>
      <w:r>
        <w:t>开发阈值属于待校准参数。候选片段不足时摘录回退或拒答，不能把高相似度当作事实蕴含。</w:t>
      </w:r>
    </w:p>
    <w:p>
      <w:pPr>
        <w:pStyle w:val="Heading1"/>
        <w:spacing w:after="160" w:line="300" w:lineRule="auto"/>
      </w:pPr>
      <w:r>
        <w:t>有依据生成与指定API</w:t>
      </w:r>
    </w:p>
    <w:p>
      <w:pPr>
        <w:spacing w:after="160" w:line="300" w:lineRule="auto"/>
      </w:pPr>
      <w:r>
        <w:t>responses_client.py提供Responses兼容结构化输出、超时和脱敏audit。grounded_generation.py要求claims与literal quote，核验引用存在及数字一致。逐字引用有效并不证明完整语义蕴含。</w:t>
      </w:r>
    </w:p>
    <w:p>
      <w:pPr>
        <w:spacing w:after="160" w:line="300" w:lineRule="auto"/>
      </w:pPr>
      <w:r>
        <w:t>tools/model_runtime.py仅读取runtime/model_config.json；模型只允许gpt-6-luna，域名只允许https://spacetimeai.cc（实际请求/v1）。不读Codex旧凭据，不切换其他模型。</w:t>
      </w:r>
    </w:p>
    <w:p>
      <w:pPr>
        <w:spacing w:after="160" w:line="300" w:lineRule="auto"/>
      </w:pPr>
      <w:r>
        <w:t>指定API实际探测：/v1/models、/models和/v1/responses均401。models失败不能直接判断模型不存在；401只说明请求未通过鉴权。当前没有可用的真实生成成绩。</w:t>
      </w:r>
    </w:p>
    <w:p>
      <w:pPr>
        <w:spacing w:after="160" w:line="300" w:lineRule="auto"/>
      </w:pPr>
      <w:r>
        <w:t>鉴权恢复后依次运行probe_model.py与evaluate_model.py --full，检查返回model、provider、usage及回退标签。禁止用成功的规则SQL替代真实模型能力证明。</w:t>
      </w:r>
    </w:p>
    <w:p>
      <w:pPr>
        <w:pStyle w:val="Heading1"/>
        <w:spacing w:after="160" w:line="300" w:lineRule="auto"/>
      </w:pPr>
      <w:r>
        <w:t>有界DAG与跨源工具</w:t>
      </w:r>
    </w:p>
    <w:p>
      <w:pPr>
        <w:spacing w:after="160" w:line="300" w:lineRule="auto"/>
      </w:pPr>
      <w:r>
        <w:t>dependency_agent.py支持sql、search、document_formula、cell、fact、calculate、policy_select、compare。每一步ID唯一；ref/path形成实际依赖图，上游失败时下游不执行。</w:t>
      </w:r>
    </w:p>
    <w:p>
      <w:pPr>
        <w:spacing w:after="160" w:line="300" w:lineRule="auto"/>
      </w:pPr>
      <w:r>
        <w:t>计划最大16步；先验证依赖、循环、工具白名单与参数契约。运行trace记录输入证据、结果与状态，前端展示实际调用链，不展示虚构的模型内部思考。</w:t>
      </w:r>
    </w:p>
    <w:p>
      <w:pPr>
        <w:spacing w:after="160" w:line="300" w:lineRule="auto"/>
      </w:pPr>
      <w:r>
        <w:t>工具输出分离数值、单位、来源与验证状态。数据型参数只能引用SQL单元格、XLSX或已定位文档，不接受literal代替可信来源。</w:t>
      </w:r>
    </w:p>
    <w:p>
      <w:pPr>
        <w:spacing w:after="160" w:line="300" w:lineRule="auto"/>
      </w:pPr>
      <w:r>
        <w:t>融合五流程已通过明确计划验收；未知自然语言转复杂计划的鲁棒性需gpt-6-luna实测。</w:t>
      </w:r>
    </w:p>
    <w:p>
      <w:pPr>
        <w:pStyle w:val="Heading1"/>
        <w:spacing w:after="160" w:line="300" w:lineRule="auto"/>
      </w:pPr>
      <w:r>
        <w:t>公式、单位、年份与政策版本</w:t>
      </w:r>
    </w:p>
    <w:p>
      <w:pPr>
        <w:spacing w:after="160" w:line="300" w:lineRule="auto"/>
      </w:pPr>
      <w:r>
        <w:t>formula_binding.py从实际文档提取公式并解析AST，白名单算术拒绝代码执行与非法表达式。零分母和非有限数值立即失败，参数名称与引用来源显式绑定。</w:t>
      </w:r>
    </w:p>
    <w:p>
      <w:pPr>
        <w:spacing w:after="160" w:line="300" w:lineRule="auto"/>
      </w:pPr>
      <w:r>
        <w:t>unit_algebra.py管理数值尺度、百分数、金额及币种，禁止冲突币种默默计算。年份守卫核验文档基准年/目标年、SQL全年范围以及Excel参数适用年；无法推断时标not_inferred。</w:t>
      </w:r>
    </w:p>
    <w:p>
      <w:pPr>
        <w:spacing w:after="160" w:line="300" w:lineRule="auto"/>
      </w:pPr>
      <w:r>
        <w:t>policy_evidence.py按明确生效日期选版本，重叠或缺失阻止答案。已验证退货期限5日→7日的边界，ASCII逗号不再让政策值带入整个日期句。</w:t>
      </w:r>
    </w:p>
    <w:p>
      <w:pPr>
        <w:spacing w:after="160" w:line="300" w:lineRule="auto"/>
      </w:pPr>
      <w:r>
        <w:t>未知单位、隐含生效条件和复杂公式语义仍可能需要主动澄清，不由启发式强行补齐。</w:t>
      </w:r>
    </w:p>
    <w:p>
      <w:pPr>
        <w:pStyle w:val="Heading1"/>
        <w:spacing w:after="160" w:line="300" w:lineRule="auto"/>
      </w:pPr>
      <w:r>
        <w:t>解释链路与前端契约</w:t>
      </w:r>
    </w:p>
    <w:p>
      <w:pPr>
        <w:spacing w:after="160" w:line="300" w:lineRule="auto"/>
      </w:pPr>
      <w:r>
        <w:t>首页展示问数、SQL与结果；knowledge.html展示文档、统一多轮及跨源场景；capabilities.html按赛题要求列出证据与未完成项。</w:t>
      </w:r>
    </w:p>
    <w:p>
      <w:pPr>
        <w:spacing w:after="160" w:line="300" w:lineRule="auto"/>
      </w:pPr>
      <w:r>
        <w:t>可解释信息包括SQL及参数、来源SHA、页/行/单元格/OCR定位、公式、引用值、单位与日期、工具依赖和失败原因。提供的解释是执行记录，不承诺揭示模型隐含推理。</w:t>
      </w:r>
    </w:p>
    <w:p>
      <w:pPr>
        <w:spacing w:after="160" w:line="300" w:lineRule="auto"/>
      </w:pPr>
      <w:r>
        <w:t>融合结果incomplete时不把已完成步骤的中间数值当作最终答案；模型生成失败保持显式摘录回退。API探测状态显示时间戳，保存的历史记录不等于实时可用性。</w:t>
      </w:r>
    </w:p>
    <w:p>
      <w:pPr>
        <w:spacing w:after="160" w:line="300" w:lineRule="auto"/>
      </w:pPr>
      <w:r>
        <w:t>服务限制查询长度、行数、文件大小与并发；生产Bearer/CORS配置有边界。当前本地部署尚不等同多租户生产权限审计。</w:t>
      </w:r>
    </w:p>
    <w:p>
      <w:pPr>
        <w:pStyle w:val="Heading1"/>
        <w:spacing w:after="160" w:line="300" w:lineRule="auto"/>
      </w:pPr>
      <w:r>
        <w:t>功能评估：输入、金标与判定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测试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当前结果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判定口径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问数开发验收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12/12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规则规划、合成开发题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多格式问答开发验收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11/11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混合检索、原文摘录与引用核对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跨源工具链开发验收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5/5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明确工具计划，非未知模型规划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公开Chinook开发题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12/12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公开库，人工题，非Spider基准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真实gpt-6-luna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authentication_failed</w:t>
            </w:r>
          </w:p>
        </w:tc>
        <w:tc>
          <w:tcPr>
            <w:tcW w:type="dxa" w:w="3213"/>
          </w:tcPr>
          <w:p>
            <w:pPr>
              <w:spacing w:after="100" w:line="264" w:lineRule="auto"/>
            </w:pPr>
            <w:r>
              <w:rPr>
                <w:sz w:val="18"/>
              </w:rPr>
              <w:t>models及responses探测401，未有模型成绩</w:t>
            </w:r>
          </w:p>
        </w:tc>
      </w:tr>
    </w:tbl>
    <w:p>
      <w:pPr>
        <w:spacing w:after="160" w:line="300" w:lineRule="auto"/>
      </w:pPr>
      <w:r>
        <w:t>本地391项回归主要检验实现契约、异常与安全路径；不能把单元测试数量作为准确率分母。开发问数比较结果，问答核对事实与原文，跨源核对数值及来源依赖。</w:t>
      </w:r>
    </w:p>
    <w:p>
      <w:pPr>
        <w:spacing w:after="160" w:line="300" w:lineRule="auto"/>
      </w:pPr>
      <w:r>
        <w:t>评测输入、结果、运行脚本和范围标记一起入包。history中的旧模型结果只属于历史资料，不纳入gpt-6-luna评测。</w:t>
      </w:r>
    </w:p>
    <w:p>
      <w:pPr>
        <w:spacing w:after="160" w:line="300" w:lineRule="auto"/>
      </w:pPr>
      <w:r>
        <w:t>未见题验收需要冻结输入/金标且避免修复后仍称其为未见；报告失败原因为Schema、检索、生成、计算或授权，不能只输出平均成功率。</w:t>
      </w:r>
    </w:p>
    <w:p>
      <w:pPr>
        <w:pStyle w:val="Heading1"/>
        <w:spacing w:after="160" w:line="300" w:lineRule="auto"/>
      </w:pPr>
      <w:r>
        <w:t>复杂度与规模效率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pPr>
              <w:spacing w:after="100" w:line="264" w:lineRule="auto"/>
            </w:pPr>
            <w:r>
              <w:rPr>
                <w:sz w:val="18"/>
              </w:rPr>
              <w:t>页数</w:t>
            </w:r>
          </w:p>
        </w:tc>
        <w:tc>
          <w:tcPr>
            <w:tcW w:type="dxa" w:w="2409"/>
          </w:tcPr>
          <w:p>
            <w:pPr>
              <w:spacing w:after="100" w:line="264" w:lineRule="auto"/>
            </w:pPr>
            <w:r>
              <w:rPr>
                <w:sz w:val="18"/>
              </w:rPr>
              <w:t>切片</w:t>
            </w:r>
          </w:p>
        </w:tc>
        <w:tc>
          <w:tcPr>
            <w:tcW w:type="dxa" w:w="2409"/>
          </w:tcPr>
          <w:p>
            <w:pPr>
              <w:spacing w:after="100" w:line="264" w:lineRule="auto"/>
            </w:pPr>
            <w:r>
              <w:rPr>
                <w:sz w:val="18"/>
              </w:rPr>
              <w:t>语义热P50/ms</w:t>
            </w:r>
          </w:p>
        </w:tc>
        <w:tc>
          <w:tcPr>
            <w:tcW w:type="dxa" w:w="2409"/>
          </w:tcPr>
          <w:p>
            <w:pPr>
              <w:spacing w:after="100" w:line="264" w:lineRule="auto"/>
            </w:pPr>
            <w:r>
              <w:rPr>
                <w:sz w:val="18"/>
              </w:rPr>
              <w:t>语义热P95/ms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100" w:line="264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2409"/>
          </w:tcPr>
          <w:p>
            <w:pPr>
              <w:spacing w:after="100" w:line="264" w:lineRule="auto"/>
            </w:pPr>
            <w:r>
              <w:rPr>
                <w:sz w:val="18"/>
              </w:rPr>
              <w:t>50</w:t>
            </w:r>
          </w:p>
        </w:tc>
        <w:tc>
          <w:tcPr>
            <w:tcW w:type="dxa" w:w="2409"/>
          </w:tcPr>
          <w:p>
            <w:pPr>
              <w:spacing w:after="100" w:line="264" w:lineRule="auto"/>
            </w:pPr>
            <w:r>
              <w:rPr>
                <w:sz w:val="18"/>
              </w:rPr>
              <w:t>19.093</w:t>
            </w:r>
          </w:p>
        </w:tc>
        <w:tc>
          <w:tcPr>
            <w:tcW w:type="dxa" w:w="2409"/>
          </w:tcPr>
          <w:p>
            <w:pPr>
              <w:spacing w:after="100" w:line="264" w:lineRule="auto"/>
            </w:pPr>
            <w:r>
              <w:rPr>
                <w:sz w:val="18"/>
              </w:rPr>
              <w:t>19.575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100" w:line="264" w:lineRule="auto"/>
            </w:pPr>
            <w:r>
              <w:rPr>
                <w:sz w:val="18"/>
              </w:rPr>
              <w:t>100</w:t>
            </w:r>
          </w:p>
        </w:tc>
        <w:tc>
          <w:tcPr>
            <w:tcW w:type="dxa" w:w="2409"/>
          </w:tcPr>
          <w:p>
            <w:pPr>
              <w:spacing w:after="100" w:line="264" w:lineRule="auto"/>
            </w:pPr>
            <w:r>
              <w:rPr>
                <w:sz w:val="18"/>
              </w:rPr>
              <w:t>500</w:t>
            </w:r>
          </w:p>
        </w:tc>
        <w:tc>
          <w:tcPr>
            <w:tcW w:type="dxa" w:w="2409"/>
          </w:tcPr>
          <w:p>
            <w:pPr>
              <w:spacing w:after="100" w:line="264" w:lineRule="auto"/>
            </w:pPr>
            <w:r>
              <w:rPr>
                <w:sz w:val="18"/>
              </w:rPr>
              <w:t>109.542</w:t>
            </w:r>
          </w:p>
        </w:tc>
        <w:tc>
          <w:tcPr>
            <w:tcW w:type="dxa" w:w="2409"/>
          </w:tcPr>
          <w:p>
            <w:pPr>
              <w:spacing w:after="100" w:line="264" w:lineRule="auto"/>
            </w:pPr>
            <w:r>
              <w:rPr>
                <w:sz w:val="18"/>
              </w:rPr>
              <w:t>115.637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100" w:line="264" w:lineRule="auto"/>
            </w:pPr>
            <w:r>
              <w:rPr>
                <w:sz w:val="18"/>
              </w:rPr>
              <w:t>500</w:t>
            </w:r>
          </w:p>
        </w:tc>
        <w:tc>
          <w:tcPr>
            <w:tcW w:type="dxa" w:w="2409"/>
          </w:tcPr>
          <w:p>
            <w:pPr>
              <w:spacing w:after="100" w:line="264" w:lineRule="auto"/>
            </w:pPr>
            <w:r>
              <w:rPr>
                <w:sz w:val="18"/>
              </w:rPr>
              <w:t>2500</w:t>
            </w:r>
          </w:p>
        </w:tc>
        <w:tc>
          <w:tcPr>
            <w:tcW w:type="dxa" w:w="2409"/>
          </w:tcPr>
          <w:p>
            <w:pPr>
              <w:spacing w:after="100" w:line="264" w:lineRule="auto"/>
            </w:pPr>
            <w:r>
              <w:rPr>
                <w:sz w:val="18"/>
              </w:rPr>
              <w:t>541.472</w:t>
            </w:r>
          </w:p>
        </w:tc>
        <w:tc>
          <w:tcPr>
            <w:tcW w:type="dxa" w:w="2409"/>
          </w:tcPr>
          <w:p>
            <w:pPr>
              <w:spacing w:after="100" w:line="264" w:lineRule="auto"/>
            </w:pPr>
            <w:r>
              <w:rPr>
                <w:sz w:val="18"/>
              </w:rPr>
              <w:t>616.101</w:t>
            </w:r>
          </w:p>
        </w:tc>
      </w:tr>
    </w:tbl>
    <w:p>
      <w:pPr>
        <w:spacing w:after="160" w:line="300" w:lineRule="auto"/>
      </w:pPr>
      <w:r>
        <w:t>设表数T、字段数C、关系边E、切片数N、向量维度d、检索k、计划步数S。Schema遍历约O(T+C+E)，关系路径搜索约O(T+E)；SQL成本由扫描、索引与JOIN基数决定。</w:t>
      </w:r>
    </w:p>
    <w:p>
      <w:pPr>
        <w:spacing w:after="160" w:line="300" w:lineRule="auto"/>
      </w:pPr>
      <w:r>
        <w:t>当前精确Dense矩阵扫描约O(Nd)，Top-k约O(N log k)；BM25倒排依赖命中posting数。RRF融合约O(k log k)，DAG校验O(S+依赖边数)。外部模型延迟随输入输出token变化，不能套用本地线性公式。</w:t>
      </w:r>
    </w:p>
    <w:p>
      <w:pPr>
        <w:spacing w:after="160" w:line="300" w:lineRule="auto"/>
      </w:pPr>
      <w:r>
        <w:t>1k/10k/100k行与10/100/500页已经分规模实测。冷编码、热缓存、编号缩小候选与全局语义必须分别报告；OCR和真实模型端到端效率尚未验收。</w:t>
      </w:r>
    </w:p>
    <w:p>
      <w:pPr>
        <w:pStyle w:val="Heading1"/>
        <w:spacing w:after="160" w:line="300" w:lineRule="auto"/>
      </w:pPr>
      <w:r>
        <w:t>复现、许可与未完成项</w:t>
      </w:r>
    </w:p>
    <w:p>
      <w:pPr>
        <w:spacing w:after="160" w:line="300" w:lineRule="auto"/>
      </w:pPr>
      <w:r>
        <w:t>delivery/requirements-tested.txt记录直接依赖实测版本；ENVIRONMENT.json记录完整包版本、Python与平台。模型权重与Chinook各有ASSET_MANIFEST和LICENSE，样本为自建合成CC0。</w:t>
      </w:r>
    </w:p>
    <w:p>
      <w:pPr>
        <w:spacing w:after="160" w:line="300" w:lineRule="auto"/>
      </w:pPr>
      <w:r>
        <w:t>先安装依赖，按README启动；完整资产包无需复制原项目。verify_checkpoint.py对新目录解包、逐文件哈希、重建与独立随机端口作验收，源码包则需要公开资产下载。</w:t>
      </w:r>
    </w:p>
    <w:p>
      <w:pPr>
        <w:spacing w:after="160" w:line="300" w:lineRule="auto"/>
      </w:pPr>
      <w:r>
        <w:t>未完成：gpt-6-luna有效鉴权；独立未知题；公开复杂OCR样本；通用跨源五轮；真实模型耗时/token成本；官方模板迁移及真实评审反馈。</w:t>
      </w:r>
    </w:p>
    <w:p>
      <w:pPr>
        <w:spacing w:after="160" w:line="300" w:lineRule="auto"/>
      </w:pPr>
      <w:r>
        <w:t>本文按官方赛题内容制作，不以未提供的官方模板名义提交；仅有当前证据的条目可表述为“已验收”。</w:t>
      </w:r>
    </w:p>
    <w:sectPr w:rsidR="00FC693F" w:rsidRPr="0006063C" w:rsidSect="00034616">
      <w:footerReference w:type="default" r:id="rId9"/>
      <w:pgSz w:w="11906" w:h="16838"/>
      <w:pgMar w:top="1049" w:right="1134" w:bottom="104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OmniAgent · ICT 赛题八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72A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A3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A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2A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172A3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技术实现说明书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