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涓汉璐㈠瘜绠＄悊鎵嬪唽</w:t>
      </w:r>
    </w:p>
    <w:p>
      <w:pPr>
        <w:pStyle w:val="Author"/>
      </w:pPr>
      <w:r>
        <w:t xml:space="preserve">澶忔槅</w:t>
      </w:r>
    </w:p>
    <w:p>
      <w:pPr>
        <w:pStyle w:val="Date"/>
      </w:pPr>
      <w:r>
        <w:t xml:space="preserve">2018-05-09</w:t>
      </w:r>
    </w:p>
    <w:p>
      <w:pPr>
        <w:pStyle w:val="Heading2"/>
      </w:pPr>
      <w:bookmarkStart w:id="21" w:name="基本概念"/>
      <w:bookmarkEnd w:id="21"/>
      <w:r>
        <w:t xml:space="preserve">基本概念</w:t>
      </w:r>
    </w:p>
    <w:p>
      <w:pPr>
        <w:pStyle w:val="Heading3"/>
      </w:pPr>
      <w:bookmarkStart w:id="22" w:name="生产和消费"/>
      <w:bookmarkEnd w:id="22"/>
      <w:r>
        <w:t xml:space="preserve">生产和消费</w:t>
      </w:r>
    </w:p>
    <w:p>
      <w:pPr>
        <w:pStyle w:val="Compact"/>
        <w:numPr>
          <w:numId w:val="1001"/>
          <w:ilvl w:val="0"/>
        </w:numPr>
      </w:pPr>
      <w:r>
        <w:t xml:space="preserve">生产：创造经济价值</w:t>
      </w:r>
    </w:p>
    <w:p>
      <w:pPr>
        <w:pStyle w:val="Compact"/>
        <w:numPr>
          <w:numId w:val="1001"/>
          <w:ilvl w:val="0"/>
        </w:numPr>
      </w:pPr>
      <w:r>
        <w:t xml:space="preserve">消费：使用经济价值</w:t>
      </w:r>
    </w:p>
    <w:p>
      <w:pPr>
        <w:pStyle w:val="Compact"/>
        <w:numPr>
          <w:numId w:val="1001"/>
          <w:ilvl w:val="0"/>
        </w:numPr>
      </w:pPr>
      <w:r>
        <w:t xml:space="preserve">生产 = 投资 + 消费</w:t>
      </w:r>
    </w:p>
    <w:p>
      <w:pPr>
        <w:pStyle w:val="Heading3"/>
      </w:pPr>
      <w:bookmarkStart w:id="23" w:name="广义的个人资产负债表"/>
      <w:bookmarkEnd w:id="23"/>
      <w:r>
        <w:t xml:space="preserve">广义的个人资产负债表</w:t>
      </w:r>
    </w:p>
    <w:p>
      <w:pPr>
        <w:pStyle w:val="Compact"/>
        <w:numPr>
          <w:numId w:val="1002"/>
          <w:ilvl w:val="0"/>
        </w:numPr>
      </w:pPr>
      <w:r>
        <w:t xml:space="preserve">资产</w:t>
      </w:r>
    </w:p>
    <w:p>
      <w:pPr>
        <w:pStyle w:val="Compact"/>
        <w:numPr>
          <w:numId w:val="1003"/>
          <w:ilvl w:val="1"/>
        </w:numPr>
      </w:pPr>
      <w:r>
        <w:t xml:space="preserve">人力资本=未来劳务收入的折现</w:t>
      </w:r>
    </w:p>
    <w:p>
      <w:pPr>
        <w:pStyle w:val="Compact"/>
        <w:numPr>
          <w:numId w:val="1003"/>
          <w:ilvl w:val="1"/>
        </w:numPr>
      </w:pPr>
      <w:r>
        <w:t xml:space="preserve">金融资产，私人企业等</w:t>
      </w:r>
    </w:p>
    <w:p>
      <w:pPr>
        <w:pStyle w:val="Compact"/>
        <w:numPr>
          <w:numId w:val="1002"/>
          <w:ilvl w:val="0"/>
        </w:numPr>
      </w:pPr>
      <w:r>
        <w:t xml:space="preserve">负债</w:t>
      </w:r>
    </w:p>
    <w:p>
      <w:pPr>
        <w:pStyle w:val="Compact"/>
        <w:numPr>
          <w:numId w:val="1004"/>
          <w:ilvl w:val="1"/>
        </w:numPr>
      </w:pPr>
      <w:r>
        <w:t xml:space="preserve">未来消费支出的折现</w:t>
      </w:r>
    </w:p>
    <w:p>
      <w:pPr>
        <w:pStyle w:val="Compact"/>
        <w:numPr>
          <w:numId w:val="1004"/>
          <w:ilvl w:val="1"/>
        </w:numPr>
      </w:pPr>
      <w:r>
        <w:t xml:space="preserve">金融负债</w:t>
      </w:r>
    </w:p>
    <w:p>
      <w:pPr>
        <w:pStyle w:val="Heading3"/>
      </w:pPr>
      <w:bookmarkStart w:id="24" w:name="财务风险满足未来消费的不确定性"/>
      <w:bookmarkEnd w:id="24"/>
      <w:r>
        <w:t xml:space="preserve">财务风险，满足未来消费的不确定性</w:t>
      </w:r>
    </w:p>
    <w:p>
      <w:pPr>
        <w:pStyle w:val="Compact"/>
        <w:numPr>
          <w:numId w:val="1005"/>
          <w:ilvl w:val="0"/>
        </w:numPr>
      </w:pPr>
      <w:r>
        <w:t xml:space="preserve">流动性风险：确保在每个时点有足够的流动资产覆盖当期消费和还债支出</w:t>
      </w:r>
    </w:p>
    <w:p>
      <w:pPr>
        <w:pStyle w:val="Compact"/>
        <w:numPr>
          <w:numId w:val="1005"/>
          <w:ilvl w:val="0"/>
        </w:numPr>
      </w:pPr>
      <w:r>
        <w:t xml:space="preserve">资产负债表风险：确保有足够资产覆盖负债</w:t>
      </w:r>
    </w:p>
    <w:p>
      <w:pPr>
        <w:pStyle w:val="Heading3"/>
      </w:pPr>
      <w:bookmarkStart w:id="25" w:name="复利"/>
      <w:bookmarkEnd w:id="25"/>
      <w:r>
        <w:t xml:space="preserve">复利</w:t>
      </w:r>
    </w:p>
    <w:p>
      <w:pPr>
        <w:pStyle w:val="Compact"/>
        <w:numPr>
          <w:numId w:val="1006"/>
          <w:ilvl w:val="0"/>
        </w:numPr>
      </w:pPr>
      <w:r>
        <w:t xml:space="preserve">复合年化收益率→100元投资10年后的财富，1%→110，5%→163，10%→260</w:t>
      </w:r>
    </w:p>
    <w:p>
      <w:pPr>
        <w:pStyle w:val="Compact"/>
        <w:numPr>
          <w:numId w:val="1006"/>
          <w:ilvl w:val="0"/>
        </w:numPr>
      </w:pPr>
      <w:r>
        <w:t xml:space="preserve">正复利，做时间的朋友：经济增长，风险溢价，超额收益</w:t>
      </w:r>
    </w:p>
    <w:p>
      <w:pPr>
        <w:pStyle w:val="Compact"/>
        <w:numPr>
          <w:numId w:val="1006"/>
          <w:ilvl w:val="0"/>
        </w:numPr>
      </w:pPr>
      <w:r>
        <w:t xml:space="preserve">负复利，做时间的敌人：管理费，交易成本，通胀</w:t>
      </w:r>
    </w:p>
    <w:p>
      <w:pPr>
        <w:pStyle w:val="Heading2"/>
      </w:pPr>
      <w:bookmarkStart w:id="26" w:name="确立目标"/>
      <w:bookmarkEnd w:id="26"/>
      <w:r>
        <w:t xml:space="preserve">确立目标</w:t>
      </w:r>
    </w:p>
    <w:p>
      <w:pPr>
        <w:pStyle w:val="Compact"/>
        <w:numPr>
          <w:numId w:val="1007"/>
          <w:ilvl w:val="0"/>
        </w:numPr>
      </w:pPr>
      <w:r>
        <w:t xml:space="preserve">财富管理：管理个人资产负债表，规避未来消费得不到满足的风险</w:t>
      </w:r>
    </w:p>
    <w:p>
      <w:pPr>
        <w:pStyle w:val="Compact"/>
        <w:numPr>
          <w:numId w:val="1007"/>
          <w:ilvl w:val="0"/>
        </w:numPr>
      </w:pPr>
      <w:r>
        <w:t xml:space="preserve">投资：放弃当前消费（储蓄和投资），满足未来消费</w:t>
      </w:r>
    </w:p>
    <w:p>
      <w:pPr>
        <w:pStyle w:val="Heading2"/>
      </w:pPr>
      <w:bookmarkStart w:id="27" w:name="制定计划"/>
      <w:bookmarkEnd w:id="27"/>
      <w:r>
        <w:t xml:space="preserve">制定计划</w:t>
      </w:r>
    </w:p>
    <w:p>
      <w:pPr>
        <w:pStyle w:val="Compact"/>
        <w:numPr>
          <w:numId w:val="1008"/>
          <w:ilvl w:val="0"/>
        </w:numPr>
      </w:pPr>
      <w:r>
        <w:t xml:space="preserve">财富管理=管理个人资产负债表</w:t>
      </w:r>
    </w:p>
    <w:p>
      <w:pPr>
        <w:pStyle w:val="Compact"/>
        <w:numPr>
          <w:numId w:val="1009"/>
          <w:ilvl w:val="1"/>
        </w:numPr>
      </w:pPr>
      <w:r>
        <w:t xml:space="preserve">资产端：储蓄和投资</w:t>
      </w:r>
    </w:p>
    <w:p>
      <w:pPr>
        <w:pStyle w:val="Compact"/>
        <w:numPr>
          <w:numId w:val="1009"/>
          <w:ilvl w:val="1"/>
        </w:numPr>
      </w:pPr>
      <w:r>
        <w:t xml:space="preserve">通过资本积累和参与生产，对冲长期消费增长的风险</w:t>
      </w:r>
    </w:p>
    <w:p>
      <w:pPr>
        <w:pStyle w:val="Compact"/>
        <w:numPr>
          <w:numId w:val="1008"/>
          <w:ilvl w:val="0"/>
        </w:numPr>
      </w:pPr>
      <w:r>
        <w:t xml:space="preserve">负债端</w:t>
      </w:r>
    </w:p>
    <w:p>
      <w:pPr>
        <w:pStyle w:val="Compact"/>
        <w:numPr>
          <w:numId w:val="1010"/>
          <w:ilvl w:val="1"/>
        </w:numPr>
      </w:pPr>
      <w:r>
        <w:t xml:space="preserve">合理消费，控制物质需求，量入为出</w:t>
      </w:r>
    </w:p>
    <w:p>
      <w:pPr>
        <w:pStyle w:val="Compact"/>
        <w:numPr>
          <w:numId w:val="1010"/>
          <w:ilvl w:val="1"/>
        </w:numPr>
      </w:pPr>
      <w:r>
        <w:t xml:space="preserve">控制金融债务风险</w:t>
      </w:r>
    </w:p>
    <w:p>
      <w:pPr>
        <w:pStyle w:val="Compact"/>
        <w:numPr>
          <w:numId w:val="1008"/>
          <w:ilvl w:val="0"/>
        </w:numPr>
      </w:pPr>
      <w:r>
        <w:t xml:space="preserve">消费增长的风险</w:t>
      </w:r>
    </w:p>
    <w:p>
      <w:pPr>
        <w:pStyle w:val="Compact"/>
        <w:numPr>
          <w:numId w:val="1011"/>
          <w:ilvl w:val="1"/>
        </w:numPr>
      </w:pPr>
      <w:r>
        <w:t xml:space="preserve">中国改革开放以来，消费增长长期落后于生产增长（投资驱动的经济）</w:t>
      </w:r>
    </w:p>
    <w:p>
      <w:pPr>
        <w:pStyle w:val="Compact"/>
        <w:numPr>
          <w:numId w:val="1011"/>
          <w:ilvl w:val="1"/>
        </w:numPr>
      </w:pPr>
      <w:r>
        <w:t xml:space="preserve">随着中国向消费型经济转型，消费占比逐渐提高</w:t>
      </w:r>
    </w:p>
    <w:p>
      <w:pPr>
        <w:pStyle w:val="Compact"/>
        <w:numPr>
          <w:numId w:val="1008"/>
          <w:ilvl w:val="0"/>
        </w:numPr>
      </w:pPr>
      <w:r>
        <w:t xml:space="preserve">投资流程</w:t>
      </w:r>
    </w:p>
    <w:p>
      <w:pPr>
        <w:pStyle w:val="Compact"/>
        <w:numPr>
          <w:numId w:val="1012"/>
          <w:ilvl w:val="1"/>
        </w:numPr>
      </w:pPr>
      <w:r>
        <w:t xml:space="preserve">布局：资产配置</w:t>
      </w:r>
    </w:p>
    <w:p>
      <w:pPr>
        <w:pStyle w:val="Compact"/>
        <w:numPr>
          <w:numId w:val="1012"/>
          <w:ilvl w:val="1"/>
        </w:numPr>
      </w:pPr>
      <w:r>
        <w:t xml:space="preserve">派兵：选择投资标的/组合</w:t>
      </w:r>
    </w:p>
    <w:p>
      <w:pPr>
        <w:pStyle w:val="Compact"/>
        <w:numPr>
          <w:numId w:val="1012"/>
          <w:ilvl w:val="1"/>
        </w:numPr>
      </w:pPr>
      <w:r>
        <w:t xml:space="preserve">遣将：选择产品/管理人</w:t>
      </w:r>
    </w:p>
    <w:p>
      <w:pPr>
        <w:pStyle w:val="Compact"/>
        <w:numPr>
          <w:numId w:val="1008"/>
          <w:ilvl w:val="0"/>
        </w:numPr>
      </w:pPr>
      <w:r>
        <w:t xml:space="preserve">投资风险</w:t>
      </w:r>
    </w:p>
    <w:p>
      <w:pPr>
        <w:pStyle w:val="Compact"/>
        <w:numPr>
          <w:numId w:val="1013"/>
          <w:ilvl w:val="1"/>
        </w:numPr>
      </w:pPr>
      <w:r>
        <w:t xml:space="preserve">风险资产的代表性不足（行业/国家/个股/资本结构等错配的风险</w:t>
      </w:r>
    </w:p>
    <w:p>
      <w:pPr>
        <w:pStyle w:val="Compact"/>
        <w:numPr>
          <w:numId w:val="1013"/>
          <w:ilvl w:val="1"/>
        </w:numPr>
      </w:pPr>
      <w:r>
        <w:t xml:space="preserve">过高的价格买入</w:t>
      </w:r>
    </w:p>
    <w:p>
      <w:pPr>
        <w:pStyle w:val="Compact"/>
        <w:numPr>
          <w:numId w:val="1013"/>
          <w:ilvl w:val="1"/>
        </w:numPr>
      </w:pPr>
      <w:r>
        <w:t xml:space="preserve">灭价值的风险，低效国企等</w:t>
      </w:r>
    </w:p>
    <w:p>
      <w:pPr>
        <w:pStyle w:val="Compact"/>
        <w:numPr>
          <w:numId w:val="1013"/>
          <w:ilvl w:val="1"/>
        </w:numPr>
      </w:pPr>
      <w:r>
        <w:t xml:space="preserve">利益分配的风险</w:t>
      </w:r>
    </w:p>
    <w:p>
      <w:pPr>
        <w:pStyle w:val="Compact"/>
        <w:numPr>
          <w:numId w:val="1013"/>
          <w:ilvl w:val="1"/>
        </w:numPr>
      </w:pPr>
      <w:r>
        <w:t xml:space="preserve">过高的税收</w:t>
      </w:r>
    </w:p>
    <w:p>
      <w:pPr>
        <w:pStyle w:val="Compact"/>
        <w:numPr>
          <w:numId w:val="1013"/>
          <w:ilvl w:val="1"/>
        </w:numPr>
      </w:pPr>
      <w:r>
        <w:t xml:space="preserve">过高的工资支出</w:t>
      </w:r>
    </w:p>
    <w:p>
      <w:pPr>
        <w:pStyle w:val="Compact"/>
        <w:numPr>
          <w:numId w:val="1013"/>
          <w:ilvl w:val="1"/>
        </w:numPr>
      </w:pPr>
      <w:r>
        <w:t xml:space="preserve">高价再融资和其它损害投资者利益的风险</w:t>
      </w:r>
    </w:p>
    <w:p>
      <w:pPr>
        <w:pStyle w:val="Heading3"/>
      </w:pPr>
      <w:bookmarkStart w:id="28" w:name="风险资产配置承担市场风险"/>
      <w:bookmarkEnd w:id="28"/>
      <w:r>
        <w:t xml:space="preserve">风险资产配置（承担市场风险）</w:t>
      </w:r>
    </w:p>
    <w:p>
      <w:pPr>
        <w:pStyle w:val="Compact"/>
        <w:numPr>
          <w:numId w:val="1014"/>
          <w:ilvl w:val="0"/>
        </w:numPr>
      </w:pPr>
      <w:r>
        <w:t xml:space="preserve">获得风险回报：大多数时候风险厌恶已经反映在风险资产的价格和预期收益里（无风险无收益，低风险低收益）</w:t>
      </w:r>
    </w:p>
    <w:p>
      <w:pPr>
        <w:pStyle w:val="Compact"/>
        <w:numPr>
          <w:numId w:val="1014"/>
          <w:ilvl w:val="0"/>
        </w:numPr>
      </w:pPr>
      <w:r>
        <w:t xml:space="preserve">权益资产配置</w:t>
      </w:r>
      <w:r>
        <w:t xml:space="preserve"> </w:t>
      </w:r>
      <w:r>
        <w:t xml:space="preserve">-分享长期经济增长</w:t>
      </w:r>
    </w:p>
    <w:p>
      <w:pPr>
        <w:pStyle w:val="Compact"/>
        <w:numPr>
          <w:numId w:val="1015"/>
          <w:ilvl w:val="1"/>
        </w:numPr>
      </w:pPr>
      <w:r>
        <w:t xml:space="preserve">获得期权价值：投资和风险的不对称性，经济收益是上凸函数，人的适应能力（规避风险/捕捉机会）</w:t>
      </w:r>
    </w:p>
    <w:p>
      <w:pPr>
        <w:pStyle w:val="Heading3"/>
      </w:pPr>
      <w:bookmarkStart w:id="29" w:name="主要资产类别"/>
      <w:bookmarkEnd w:id="29"/>
      <w:r>
        <w:t xml:space="preserve">主要资产类别</w:t>
      </w:r>
    </w:p>
    <w:p>
      <w:pPr>
        <w:pStyle w:val="Compact"/>
        <w:numPr>
          <w:numId w:val="1016"/>
          <w:ilvl w:val="0"/>
        </w:numPr>
      </w:pPr>
      <w:r>
        <w:t xml:space="preserve">人力资产/负债</w:t>
      </w:r>
    </w:p>
    <w:p>
      <w:pPr>
        <w:pStyle w:val="Compact"/>
        <w:numPr>
          <w:numId w:val="1017"/>
          <w:ilvl w:val="0"/>
        </w:numPr>
      </w:pPr>
      <w:r>
        <w:t xml:space="preserve">不可出售</w:t>
      </w:r>
    </w:p>
    <w:p>
      <w:pPr>
        <w:pStyle w:val="Compact"/>
        <w:numPr>
          <w:numId w:val="1017"/>
          <w:ilvl w:val="0"/>
        </w:numPr>
      </w:pPr>
      <w:r>
        <w:t xml:space="preserve">“</w:t>
      </w:r>
      <w:r>
        <w:t xml:space="preserve">分红</w:t>
      </w:r>
      <w:r>
        <w:t xml:space="preserve">”</w:t>
      </w:r>
      <w:r>
        <w:t xml:space="preserve">相对稳定</w:t>
      </w:r>
    </w:p>
    <w:p>
      <w:pPr>
        <w:pStyle w:val="Compact"/>
        <w:numPr>
          <w:numId w:val="1017"/>
          <w:ilvl w:val="0"/>
        </w:numPr>
      </w:pPr>
      <w:r>
        <w:t xml:space="preserve">与经济增长正相关</w:t>
      </w:r>
    </w:p>
    <w:p>
      <w:pPr>
        <w:pStyle w:val="Compact"/>
        <w:numPr>
          <w:numId w:val="1017"/>
          <w:ilvl w:val="0"/>
        </w:numPr>
      </w:pPr>
      <w:r>
        <w:t xml:space="preserve">负债=未来消费的贴现值（衣食住行、娱乐、教育、医疗）</w:t>
      </w:r>
    </w:p>
    <w:p>
      <w:pPr>
        <w:pStyle w:val="Compact"/>
        <w:numPr>
          <w:numId w:val="1017"/>
          <w:ilvl w:val="0"/>
        </w:numPr>
      </w:pPr>
      <w:r>
        <w:t xml:space="preserve">负债与资产增长正相关</w:t>
      </w:r>
    </w:p>
    <w:p>
      <w:pPr>
        <w:pStyle w:val="Compact"/>
        <w:numPr>
          <w:numId w:val="1018"/>
          <w:ilvl w:val="0"/>
        </w:numPr>
      </w:pPr>
      <w:r>
        <w:t xml:space="preserve">现金</w:t>
      </w:r>
    </w:p>
    <w:p>
      <w:pPr>
        <w:pStyle w:val="Compact"/>
        <w:numPr>
          <w:numId w:val="1019"/>
          <w:ilvl w:val="0"/>
        </w:numPr>
      </w:pPr>
      <w:r>
        <w:t xml:space="preserve">短期的安全资产</w:t>
      </w:r>
    </w:p>
    <w:p>
      <w:pPr>
        <w:pStyle w:val="Compact"/>
        <w:numPr>
          <w:numId w:val="1019"/>
          <w:ilvl w:val="0"/>
        </w:numPr>
      </w:pPr>
      <w:r>
        <w:t xml:space="preserve">对冲短期消费缺口的风险（流动性风险）</w:t>
      </w:r>
    </w:p>
    <w:p>
      <w:pPr>
        <w:pStyle w:val="Compact"/>
        <w:numPr>
          <w:numId w:val="1020"/>
          <w:ilvl w:val="0"/>
        </w:numPr>
      </w:pPr>
      <w:r>
        <w:t xml:space="preserve">长期债券</w:t>
      </w:r>
    </w:p>
    <w:p>
      <w:pPr>
        <w:pStyle w:val="Compact"/>
        <w:numPr>
          <w:numId w:val="1021"/>
          <w:ilvl w:val="0"/>
        </w:numPr>
      </w:pPr>
      <w:r>
        <w:t xml:space="preserve">长期的安全资产</w:t>
      </w:r>
    </w:p>
    <w:p>
      <w:pPr>
        <w:pStyle w:val="Compact"/>
        <w:numPr>
          <w:numId w:val="1021"/>
          <w:ilvl w:val="0"/>
        </w:numPr>
      </w:pPr>
      <w:r>
        <w:t xml:space="preserve">对冲长期投资机会下行风险，再投资风险，利率风险（通过锁定长期收益）</w:t>
      </w:r>
    </w:p>
    <w:p>
      <w:pPr>
        <w:pStyle w:val="Compact"/>
        <w:numPr>
          <w:numId w:val="1022"/>
          <w:ilvl w:val="0"/>
        </w:numPr>
      </w:pPr>
      <w:r>
        <w:t xml:space="preserve">股票</w:t>
      </w:r>
    </w:p>
    <w:p>
      <w:pPr>
        <w:pStyle w:val="Compact"/>
        <w:numPr>
          <w:numId w:val="1023"/>
          <w:ilvl w:val="0"/>
        </w:numPr>
      </w:pPr>
      <w:r>
        <w:t xml:space="preserve">长期的安全资产（估值均值回归，时间分散风险，投资周期越长，风险越低）</w:t>
      </w:r>
    </w:p>
    <w:p>
      <w:pPr>
        <w:pStyle w:val="Compact"/>
        <w:numPr>
          <w:numId w:val="1023"/>
          <w:ilvl w:val="0"/>
        </w:numPr>
      </w:pPr>
      <w:r>
        <w:t xml:space="preserve">更高长期收益（如果经济长期增长，获取剩余价值，风险回报）</w:t>
      </w:r>
    </w:p>
    <w:p>
      <w:pPr>
        <w:pStyle w:val="Compact"/>
        <w:numPr>
          <w:numId w:val="1023"/>
          <w:ilvl w:val="0"/>
        </w:numPr>
      </w:pPr>
      <w:r>
        <w:t xml:space="preserve">选择权/上凸性，适应能力（捕捉投资机会和管理风险/成本），尤其在经济萧条期</w:t>
      </w:r>
    </w:p>
    <w:p>
      <w:pPr>
        <w:pStyle w:val="Compact"/>
        <w:numPr>
          <w:numId w:val="1023"/>
          <w:ilvl w:val="0"/>
        </w:numPr>
      </w:pPr>
      <w:r>
        <w:t xml:space="preserve">对冲长期消费上行的风险（通过以合理的价格参与生产力增长）</w:t>
      </w:r>
    </w:p>
    <w:p>
      <w:pPr>
        <w:pStyle w:val="Compact"/>
        <w:numPr>
          <w:numId w:val="1023"/>
          <w:ilvl w:val="0"/>
        </w:numPr>
      </w:pPr>
      <w:r>
        <w:t xml:space="preserve">生产力增长决定消费增长</w:t>
      </w:r>
    </w:p>
    <w:p>
      <w:pPr>
        <w:pStyle w:val="Compact"/>
        <w:numPr>
          <w:numId w:val="1023"/>
          <w:ilvl w:val="0"/>
        </w:numPr>
      </w:pPr>
      <w:r>
        <w:t xml:space="preserve">（有限的）择时提高收益</w:t>
      </w:r>
    </w:p>
    <w:p>
      <w:pPr>
        <w:pStyle w:val="Compact"/>
        <w:numPr>
          <w:numId w:val="1023"/>
          <w:ilvl w:val="0"/>
        </w:numPr>
      </w:pPr>
      <w:r>
        <w:t xml:space="preserve">在价格严重低于价值时更多参与</w:t>
      </w:r>
    </w:p>
    <w:p>
      <w:pPr>
        <w:pStyle w:val="Compact"/>
        <w:numPr>
          <w:numId w:val="1024"/>
          <w:ilvl w:val="0"/>
        </w:numPr>
      </w:pPr>
      <w:r>
        <w:t xml:space="preserve">商品？</w:t>
      </w:r>
    </w:p>
    <w:p>
      <w:pPr>
        <w:pStyle w:val="Compact"/>
        <w:numPr>
          <w:numId w:val="1025"/>
          <w:ilvl w:val="0"/>
        </w:numPr>
      </w:pPr>
      <w:r>
        <w:t xml:space="preserve">工业商品长期跑输通胀（不适合长期持有）</w:t>
      </w:r>
    </w:p>
    <w:p>
      <w:pPr>
        <w:pStyle w:val="Compact"/>
        <w:numPr>
          <w:numId w:val="1025"/>
          <w:ilvl w:val="0"/>
        </w:numPr>
      </w:pPr>
      <w:r>
        <w:t xml:space="preserve">不能对冲经济周期/股/债（收益不相关）</w:t>
      </w:r>
    </w:p>
    <w:p>
      <w:pPr>
        <w:pStyle w:val="Compact"/>
        <w:numPr>
          <w:numId w:val="1025"/>
          <w:ilvl w:val="0"/>
        </w:numPr>
      </w:pPr>
      <w:r>
        <w:t xml:space="preserve">收益主要来源于展期（roll）</w:t>
      </w:r>
    </w:p>
    <w:p>
      <w:pPr>
        <w:pStyle w:val="Compact"/>
        <w:numPr>
          <w:numId w:val="1025"/>
          <w:ilvl w:val="0"/>
        </w:numPr>
      </w:pPr>
      <w:r>
        <w:t xml:space="preserve">期限结构/动量（多空）策略可能有效</w:t>
      </w:r>
    </w:p>
    <w:p>
      <w:pPr>
        <w:pStyle w:val="Compact"/>
        <w:numPr>
          <w:numId w:val="1026"/>
          <w:ilvl w:val="0"/>
        </w:numPr>
      </w:pPr>
      <w:r>
        <w:t xml:space="preserve">其它因素的影响</w:t>
      </w:r>
    </w:p>
    <w:p>
      <w:pPr>
        <w:pStyle w:val="Compact"/>
        <w:numPr>
          <w:numId w:val="1027"/>
          <w:ilvl w:val="0"/>
        </w:numPr>
      </w:pPr>
      <w:r>
        <w:t xml:space="preserve">收入越高，风险资产的配置越高</w:t>
      </w:r>
    </w:p>
    <w:p>
      <w:pPr>
        <w:pStyle w:val="Compact"/>
        <w:numPr>
          <w:numId w:val="1027"/>
          <w:ilvl w:val="0"/>
        </w:numPr>
      </w:pPr>
      <w:r>
        <w:t xml:space="preserve">最低消费水平越高，风险资产的配置越低（相当于负收入）</w:t>
      </w:r>
      <w:r>
        <w:t xml:space="preserve"> </w:t>
      </w:r>
      <w:r>
        <w:t xml:space="preserve">## 时间维度（投资周期）</w:t>
      </w:r>
      <w:r>
        <w:t xml:space="preserve"> </w:t>
      </w:r>
      <w:r>
        <w:t xml:space="preserve">• 短期持有现金对冲流动性风险</w:t>
      </w:r>
      <w:r>
        <w:t xml:space="preserve"> </w:t>
      </w:r>
      <w:r>
        <w:t xml:space="preserve">• 长期持有债券对冲消费下行风险（经济衰退风险，利率风险，再投资风险）</w:t>
      </w:r>
      <w:r>
        <w:t xml:space="preserve"> </w:t>
      </w:r>
      <w:r>
        <w:t xml:space="preserve">• 长期持有股票对冲消费上行风险（通过以合理的价格参与生产增长）</w:t>
      </w:r>
      <w:r>
        <w:t xml:space="preserve"> </w:t>
      </w:r>
      <w:r>
        <w:t xml:space="preserve">• 投资周期越长，股票风险越低好于债券 （股票估值均值回归，而利率呈现均值偏离）</w:t>
      </w:r>
      <w:r>
        <w:t xml:space="preserve"> </w:t>
      </w:r>
      <w:r>
        <w:t xml:space="preserve"> </w:t>
      </w:r>
      <w:r>
        <w:t xml:space="preserve"> </w:t>
      </w:r>
      <w:r>
        <w:t xml:space="preserve"># 证券选择</w:t>
      </w:r>
      <w:r>
        <w:t xml:space="preserve"> </w:t>
      </w:r>
      <w:r>
        <w:t xml:space="preserve">分散与集中</w:t>
      </w:r>
      <w:r>
        <w:t xml:space="preserve"> </w:t>
      </w:r>
      <w:r>
        <w:t xml:space="preserve">• 如果有比较优势就集中，否则分散</w:t>
      </w:r>
      <w:r>
        <w:t xml:space="preserve"> </w:t>
      </w:r>
      <w:r>
        <w:t xml:space="preserve">• 大容量长期战胜市场难度很大</w:t>
      </w:r>
      <w:r>
        <w:t xml:space="preserve"> </w:t>
      </w:r>
      <w:r>
        <w:t xml:space="preserve">o 长期来看，市场基本有效</w:t>
      </w:r>
      <w:r>
        <w:t xml:space="preserve"> </w:t>
      </w:r>
      <w:r>
        <w:t xml:space="preserve">o 证券选择和产品选择不容易形成护城河</w:t>
      </w:r>
      <w:r>
        <w:t xml:space="preserve"> </w:t>
      </w:r>
      <w:r>
        <w:t xml:space="preserve">o 容量有限：深度和宽度的矛盾</w:t>
      </w:r>
      <w:r>
        <w:t xml:space="preserve"> </w:t>
      </w:r>
      <w:r>
        <w:t xml:space="preserve">超额收益的来源</w:t>
      </w:r>
      <w:r>
        <w:t xml:space="preserve"> </w:t>
      </w:r>
      <w:r>
        <w:t xml:space="preserve">• 价格偏离预期价值 （预期现金流折现），供求关系变化</w:t>
      </w:r>
      <w:r>
        <w:t xml:space="preserve"> </w:t>
      </w:r>
      <w:r>
        <w:t xml:space="preserve">o 流动性变化（杠杆，资产轮动）</w:t>
      </w:r>
      <w:r>
        <w:t xml:space="preserve"> </w:t>
      </w:r>
      <w:r>
        <w:t xml:space="preserve">o 风险偏好的变化（贪婪、恐惧）</w:t>
      </w:r>
      <w:r>
        <w:t xml:space="preserve"> </w:t>
      </w:r>
      <w:r>
        <w:t xml:space="preserve">o 供应变化（稀缺性，IPO，再融资）</w:t>
      </w:r>
      <w:r>
        <w:t xml:space="preserve"> </w:t>
      </w:r>
      <w:r>
        <w:t xml:space="preserve">• 预期价值偏离实际价值</w:t>
      </w:r>
      <w:r>
        <w:t xml:space="preserve"> </w:t>
      </w:r>
      <w:r>
        <w:t xml:space="preserve">o 信息优势</w:t>
      </w:r>
      <w:r>
        <w:t xml:space="preserve"> </w:t>
      </w:r>
      <w:r>
        <w:t xml:space="preserve">o 投资逻辑的差异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54ef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2591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1d6161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834480e7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08d3c0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f4886ed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e460586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8fa11452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19e1b24c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2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2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涓汉璐㈠瘜绠＄悊鎵嬪唽</dc:title>
  <dc:creator>澶忔槅</dc:creator>
  <dcterms:created xsi:type="dcterms:W3CDTF">2018-05-09T04:12:43Z</dcterms:created>
  <dcterms:modified xsi:type="dcterms:W3CDTF">2018-05-09T04:12:43Z</dcterms:modified>
</cp:coreProperties>
</file>