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color w:val="595959"/>
          <w:sz w:val="36"/>
          <w:szCs w:val="36"/>
        </w:rPr>
        <w:t xml:space="preserve">Business Overview</w:t>
      </w:r>
    </w:p>
    <w:p>
      <w:pPr>
        <w:spacing w:after="160"/>
        <w:jc w:val="center"/>
      </w:pPr>
      <w:r>
        <w:rPr>
          <w:rFonts w:ascii="Arial" w:cs="Arial" w:eastAsia="Arial" w:hAnsi="Arial"/>
          <w:b/>
          <w:bCs/>
          <w:color w:val="1F3864"/>
          <w:sz w:val="56"/>
          <w:szCs w:val="56"/>
        </w:rPr>
        <w:t xml:space="preserve">PDD Holdings Inc.</w:t>
      </w:r>
    </w:p>
    <w:p>
      <w:pPr>
        <w:spacing w:after="600"/>
        <w:jc w:val="center"/>
      </w:pPr>
      <w:r>
        <w:rPr>
          <w:rFonts w:ascii="Arial" w:cs="Arial" w:eastAsia="Arial" w:hAnsi="Arial"/>
          <w:color w:val="595959"/>
          <w:sz w:val="24"/>
          <w:szCs w:val="24"/>
        </w:rPr>
        <w:t xml:space="preserve">Nasdaq: PDD   |   Cayman Islands incorporated, Dublin headquartered</w:t>
      </w:r>
    </w:p>
    <w:p>
      <w:pPr>
        <w:spacing w:after="200"/>
        <w:jc w:val="center"/>
      </w:pPr>
      <w:r>
        <w:rPr>
          <w:rFonts w:ascii="Arial" w:cs="Arial" w:eastAsia="Arial" w:hAnsi="Arial"/>
          <w:sz w:val="24"/>
          <w:szCs w:val="24"/>
        </w:rPr>
        <w:t xml:space="preserve">7 September 2026</w:t>
      </w:r>
    </w:p>
    <w:p>
      <w:pPr>
        <w:spacing w:after="120" w:before="900"/>
        <w:jc w:val="center"/>
      </w:pPr>
      <w:r>
        <w:rPr>
          <w:rFonts w:ascii="Arial" w:cs="Arial" w:eastAsia="Arial" w:hAnsi="Arial"/>
          <w:b/>
          <w:bCs/>
          <w:color w:val="595959"/>
          <w:sz w:val="20"/>
          <w:szCs w:val="20"/>
        </w:rPr>
        <w:t xml:space="preserve">Evidence base</w:t>
      </w:r>
    </w:p>
    <w:p>
      <w:pPr>
        <w:spacing w:after="100"/>
        <w:jc w:val="center"/>
      </w:pPr>
      <w:r>
        <w:rPr>
          <w:rFonts w:ascii="Arial" w:cs="Arial" w:eastAsia="Arial" w:hAnsi="Arial"/>
          <w:sz w:val="20"/>
          <w:szCs w:val="20"/>
        </w:rPr>
        <w:t xml:space="preserve">PDD Holdings Forms 20-F for FY2018 through FY2025 (the FY2025 report filed 29 April 2026); Form 6-K</w:t>
      </w:r>
    </w:p>
    <w:p>
      <w:pPr>
        <w:spacing w:after="100"/>
        <w:jc w:val="center"/>
      </w:pPr>
      <w:r>
        <w:rPr>
          <w:rFonts w:ascii="Arial" w:cs="Arial" w:eastAsia="Arial" w:hAnsi="Arial"/>
          <w:sz w:val="20"/>
          <w:szCs w:val="20"/>
        </w:rPr>
        <w:t xml:space="preserve">earnings releases through the quarter ended 30 June 2026; and independent industry, regulatory and</w:t>
      </w:r>
    </w:p>
    <w:p>
      <w:pPr>
        <w:spacing w:after="400"/>
        <w:jc w:val="center"/>
      </w:pPr>
      <w:r>
        <w:rPr>
          <w:rFonts w:ascii="Arial" w:cs="Arial" w:eastAsia="Arial" w:hAnsi="Arial"/>
          <w:sz w:val="20"/>
          <w:szCs w:val="20"/>
        </w:rPr>
        <w:t xml:space="preserve">competitor sources cited in place. This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AFBBD0" w:sz="4"/>
          <w:left w:val="single" w:color="AFBBD0" w:sz="4"/>
          <w:bottom w:val="single" w:color="AFBBD0" w:sz="4"/>
          <w:right w:val="single" w:color="AFBBD0" w:sz="4"/>
          <w:insideH w:val="single" w:color="CFD8E6" w:sz="2"/>
          <w:insideV w:val="single" w:color="CFD8E6" w:sz="2"/>
        </w:tblBorders>
      </w:tblPr>
      <w:tblGrid>
        <w:gridCol w:w="2500"/>
        <w:gridCol w:w="6860"/>
      </w:tblGrid>
      <w:tr>
        <w:trPr>
          <w:tblHeader/>
        </w:trPr>
        <w:tc>
          <w:tcPr>
            <w:tcW w:type="dxa" w:w="2500"/>
            <w:shd w:fill="E8EDF5"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Dimension</w:t>
            </w:r>
          </w:p>
        </w:tc>
        <w:tc>
          <w:tcPr>
            <w:tcW w:type="dxa" w:w="6860"/>
            <w:shd w:fill="E8EDF5"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Assessment</w:t>
            </w:r>
          </w:p>
        </w:tc>
      </w:tr>
      <w:tr>
        <w:trPr>
          <w:tblHeader w:val="false"/>
        </w:trPr>
        <w:tc>
          <w:tcPr>
            <w:tcW w:type="dxa" w:w="2500"/>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What the business is</w:t>
            </w:r>
          </w:p>
        </w:tc>
        <w:tc>
          <w:tcPr>
            <w:tcW w:type="dxa" w:w="68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A single-segment online marketplace operator running two platforms: Pinduoduo in China and Temu internationally. It takes title to no inventory and owns no logistics network.</w:t>
            </w:r>
          </w:p>
        </w:tc>
      </w:tr>
      <w:tr>
        <w:trPr>
          <w:tblHeader w:val="false"/>
        </w:trPr>
        <w:tc>
          <w:tcPr>
            <w:tcW w:type="dxa" w:w="2500"/>
            <w:shd w:fill="F5F7FA"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Industry</w:t>
            </w:r>
          </w:p>
        </w:tc>
        <w:tc>
          <w:tcPr>
            <w:tcW w:type="dxa" w:w="68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Online retail marketplaces. China's online retail of physical goods was RMB13.09 trillion in 2025, 26.1% of all retail sales (National Bureau of Statistics). Temu competes in cross-border discount commerce.</w:t>
            </w:r>
          </w:p>
        </w:tc>
      </w:tr>
      <w:tr>
        <w:trPr>
          <w:tblHeader w:val="false"/>
        </w:trPr>
        <w:tc>
          <w:tcPr>
            <w:tcW w:type="dxa" w:w="2500"/>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How it makes money</w:t>
            </w:r>
          </w:p>
        </w:tc>
        <w:tc>
          <w:tcPr>
            <w:tcW w:type="dxa" w:w="68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It sells merchants access to consumer demand. Merchants prepay for advertising placement (50.4% of FY2025 revenue) and pay fees for transaction and fulfilment services (49.6%). PDD earns nothing on the goods themselves.</w:t>
            </w:r>
          </w:p>
        </w:tc>
      </w:tr>
      <w:tr>
        <w:trPr>
          <w:tblHeader w:val="false"/>
        </w:trPr>
        <w:tc>
          <w:tcPr>
            <w:tcW w:type="dxa" w:w="2500"/>
            <w:shd w:fill="F5F7FA"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Unit of economics</w:t>
            </w:r>
          </w:p>
        </w:tc>
        <w:tc>
          <w:tcPr>
            <w:tcW w:type="dxa" w:w="68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One active merchant. 16.8 million of them in FY2025, each generating RMB25,705 of revenue and approximately RMB5,542 of operating profit (FY2025 20-F; per-merchant profit calculated).</w:t>
            </w:r>
          </w:p>
        </w:tc>
      </w:tr>
      <w:tr>
        <w:trPr>
          <w:tblHeader w:val="false"/>
        </w:trPr>
        <w:tc>
          <w:tcPr>
            <w:tcW w:type="dxa" w:w="2500"/>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What protects it</w:t>
            </w:r>
          </w:p>
        </w:tc>
        <w:tc>
          <w:tcPr>
            <w:tcW w:type="dxa" w:w="68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An absence of fixed obligations rather than a barrier to entry. Capex was 0.27% of FY2025 revenue, debt is zero, cash and short-term investments RMB422.3bn, and RMB125.1bn of merchant float funds working capital.</w:t>
            </w:r>
          </w:p>
        </w:tc>
      </w:tr>
      <w:tr>
        <w:trPr>
          <w:tblHeader w:val="false"/>
        </w:trPr>
        <w:tc>
          <w:tcPr>
            <w:tcW w:type="dxa" w:w="2500"/>
            <w:shd w:fill="F5F7FA"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What drives earnings</w:t>
            </w:r>
          </w:p>
        </w:tc>
        <w:tc>
          <w:tcPr>
            <w:tcW w:type="dxa" w:w="68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Merchant count; transaction-services revenue per merchant; sales and marketing intensity (29.0% of FY2025 revenue); and interest on the cash pile, now 21.4% of pre-tax profit.</w:t>
            </w:r>
          </w:p>
        </w:tc>
      </w:tr>
      <w:tr>
        <w:trPr>
          <w:tblHeader w:val="false"/>
        </w:trPr>
        <w:tc>
          <w:tcPr>
            <w:tcW w:type="dxa" w:w="2500"/>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What to watch</w:t>
            </w:r>
          </w:p>
        </w:tc>
        <w:tc>
          <w:tcPr>
            <w:tcW w:type="dxa" w:w="68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The online marketing revenue line, which grew 2.5% and 3.4% in the first two quarters of 2026; gross margin; the cross-border duty regime; and Chinese regulatory enforcement.</w:t>
            </w:r>
          </w:p>
        </w:tc>
      </w:tr>
      <w:tr>
        <w:trPr>
          <w:tblHeader w:val="false"/>
        </w:trPr>
        <w:tc>
          <w:tcPr>
            <w:tcW w:type="dxa" w:w="2500"/>
            <w:shd w:fill="F5F7FA"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Cycle exposure</w:t>
            </w:r>
          </w:p>
        </w:tc>
        <w:tc>
          <w:tcPr>
            <w:tcW w:type="dxa" w:w="68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Medium to high. Revenue growth is the lowest of PDD's public life (+8% in Q2 2026 against +59% in FY2024) and net income has fallen year-on-year for three consecutive quarters.</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60" w:line="276"/>
      </w:pPr>
      <w:r>
        <w:rPr>
          <w:rFonts w:ascii="Arial" w:cs="Arial" w:eastAsia="Arial" w:hAnsi="Arial"/>
          <w:sz w:val="22"/>
          <w:szCs w:val="22"/>
        </w:rPr>
        <w:t xml:space="preserve">PDD solves a matching problem in a market with too much supply. China manufactures far more consumer goods than its domestic consumers absorb, and the surplus sits with small, unbranded producers who have no way to reach buyers and no budget for conventional retail distribution. PDD builds the demand side — a consumer app organised around low prices and gamified discovery rather than search — and then sells access to it. The company describes the result as a virtuous cycle in which the buyer base attracts merchants and the resulting sales volume pushes merchants to cut prices further (FY2025 20-F).</w:t>
      </w:r>
    </w:p>
    <w:p>
      <w:pPr>
        <w:spacing w:after="160" w:line="276"/>
      </w:pPr>
      <w:r>
        <w:rPr>
          <w:rFonts w:ascii="Arial" w:cs="Arial" w:eastAsia="Arial" w:hAnsi="Arial"/>
          <w:sz w:val="22"/>
          <w:szCs w:val="22"/>
        </w:rPr>
        <w:t xml:space="preserve">The unit of economics is one active merchant, and this is not an analytical choice but the company's own. Since the FY2023 annual report PDD has disclosed exactly two operating metrics: the number of active merchants and the average transaction-services revenue each one generates. There were 14.2 million active merchants in FY2023, 15.8 million in FY2024 and 16.8 million in FY2025, generating average transaction-services revenue of RMB6,627, RMB12,399 and RMB12,742 respectively (FY2025 20-F). PDD defines an active merchant as any merchant account with at least one order shipped in the period.</w:t>
      </w:r>
    </w:p>
    <w:p>
      <w:pPr>
        <w:pStyle w:val="Heading2"/>
        <w:spacing w:after="180" w:before="180"/>
      </w:pPr>
      <w:r>
        <w:rPr>
          <w:rFonts w:ascii="Arial" w:cs="Arial" w:eastAsia="Arial" w:hAnsi="Arial"/>
          <w:b/>
          <w:bCs/>
          <w:color w:val="1F3864"/>
          <w:sz w:val="28"/>
          <w:szCs w:val="28"/>
        </w:rPr>
        <w:t xml:space="preserve">Tracing one merchant through a year</w:t>
      </w:r>
    </w:p>
    <w:p>
      <w:pPr>
        <w:spacing w:after="160" w:line="276"/>
      </w:pPr>
      <w:r>
        <w:rPr>
          <w:rFonts w:ascii="Arial" w:cs="Arial" w:eastAsia="Arial" w:hAnsi="Arial"/>
          <w:sz w:val="22"/>
          <w:szCs w:val="22"/>
        </w:rPr>
        <w:t xml:space="preserve">A merchant opens an account, lists goods, and posts a deposit against consumer-protection obligations — merchant deposits stood at RMB17.7bn at the end of FY2025. To be seen, the merchant prepays into an advertising balance and bids for placement in search results and browse feeds; PDD recognises that revenue when a consumer views or clicks the listing, and holds the cash in the meantime. When a sale completes, PDD charges a fee for the transaction and fulfilment services it arranged, recognised at a point in time once the service obligation is complete. Critically, PDD states that it does not control the products at any point, so it recognises revenue net, as an agent.</w:t>
      </w:r>
    </w:p>
    <w:p>
      <w:pPr>
        <w:spacing w:after="160" w:line="276"/>
      </w:pPr>
      <w:r>
        <w:rPr>
          <w:rFonts w:ascii="Arial" w:cs="Arial" w:eastAsia="Arial" w:hAnsi="Arial"/>
          <w:sz w:val="22"/>
          <w:szCs w:val="22"/>
        </w:rPr>
        <w:t xml:space="preserve">Consumer payment lands with PDD first and is only later released to the merchant: payable to merchants was RMB107.4bn at 31 December 2025. Across the full year that merchant produced RMB25,705 of revenue for PDD, of which RMB12,742 was transaction services and the balance advertising, and left behind roughly RMB5,542 of operating profit (calculated from the FY2025 20-F).</w:t>
      </w:r>
    </w:p>
    <w:p>
      <w:pPr>
        <w:spacing w:after="160" w:line="276"/>
      </w:pPr>
      <w:r>
        <w:rPr>
          <w:rFonts w:ascii="Arial" w:cs="Arial" w:eastAsia="Arial" w:hAnsi="Arial"/>
          <w:sz w:val="22"/>
          <w:szCs w:val="22"/>
        </w:rPr>
        <w:t xml:space="preserve">Revenue is therefore transactional rather than recurring, but with a subscription-like floor: merchants that want any visibility must keep an advertising balance funded continuously. There is no contracted backlog, no minimum commitment and no take-or-pay. The FY2025 20-F discloses no customer concentration, which follows from a base of 16.8 million merchants, and no contract length because there are no contracts of length.</w:t>
      </w:r>
    </w:p>
    <w:p>
      <w:pPr>
        <w:pStyle w:val="Heading2"/>
        <w:spacing w:after="180" w:before="180"/>
      </w:pPr>
      <w:r>
        <w:rPr>
          <w:rFonts w:ascii="Arial" w:cs="Arial" w:eastAsia="Arial" w:hAnsi="Arial"/>
          <w:b/>
          <w:bCs/>
          <w:color w:val="1F3864"/>
          <w:sz w:val="28"/>
          <w:szCs w:val="28"/>
        </w:rPr>
        <w:t xml:space="preserve">Two platforms, one reported segment</w:t>
      </w:r>
    </w:p>
    <w:p>
      <w:pPr>
        <w:spacing w:after="160" w:line="276"/>
      </w:pPr>
      <w:r>
        <w:rPr>
          <w:rFonts w:ascii="Arial" w:cs="Arial" w:eastAsia="Arial" w:hAnsi="Arial"/>
          <w:sz w:val="22"/>
          <w:szCs w:val="22"/>
        </w:rPr>
        <w:t xml:space="preserve">Pinduoduo is the Chinese platform, launched in 2015 around group buying and now a general merchandise marketplace with a stated focus on agricultural produce. Temu launched in Boston in September 2022 and by the end of FY2025 served consumers in markets including the United States, Japan, Germany, the United Kingdom, France, Canada and Italy. Duo Duo Grocery, a next-day grocery pickup service, launched in August 2020.</w:t>
      </w:r>
    </w:p>
    <w:p>
      <w:pPr>
        <w:spacing w:after="160" w:line="276"/>
      </w:pPr>
      <w:r>
        <w:rPr>
          <w:rFonts w:ascii="Arial" w:cs="Arial" w:eastAsia="Arial" w:hAnsi="Arial"/>
          <w:sz w:val="22"/>
          <w:szCs w:val="22"/>
        </w:rPr>
        <w:t xml:space="preserve">PDD reports all of this as a single operating segment and presents no geographic split. The 20-F states that because substantially all long-lived assets are in the PRC and substantially all revenues derive from within the PRC, no geographical segments are presented — a characterisation that rests on merchants being Chinese, not on consumers being Chinese. </w:t>
      </w:r>
      <w:r>
        <w:rPr>
          <w:rFonts w:ascii="Arial" w:cs="Arial" w:eastAsia="Arial" w:hAnsi="Arial"/>
          <w:b/>
          <w:bCs/>
          <w:sz w:val="22"/>
          <w:szCs w:val="22"/>
        </w:rPr>
        <w:t xml:space="preserve">There is no disclosed Temu revenue, gross merchandise value, margin or user figure anywhere in the filings.</w:t>
      </w:r>
      <w:r>
        <w:rPr>
          <w:rFonts w:ascii="Arial" w:cs="Arial" w:eastAsia="Arial" w:hAnsi="Arial"/>
          <w:sz w:val="22"/>
          <w:szCs w:val="22"/>
        </w:rPr>
        <w:t xml:space="preserve"> The best internal proxy is the share of consolidated revenue running through the Chinese variable-interest entity, which holds the domestic value-added telecommunications licences: 45.7% in FY2023, 22.5% in FY2024 and 13.1% in FY2025. That implies VIE revenue fell from roughly RMB113bn to RMB57bn in absolute terms while group revenue grew 74% (calculated). Whether that reflects Temu's rise, an intra-group licensing restructuring, or both, the filings do not say (unknown).</w:t>
      </w:r>
    </w:p>
    <w:p>
      <w:pPr>
        <w:pStyle w:val="Heading2"/>
        <w:spacing w:after="180" w:before="180"/>
      </w:pPr>
      <w:r>
        <w:rPr>
          <w:rFonts w:ascii="Arial" w:cs="Arial" w:eastAsia="Arial" w:hAnsi="Arial"/>
          <w:b/>
          <w:bCs/>
          <w:color w:val="1F3864"/>
          <w:sz w:val="28"/>
          <w:szCs w:val="28"/>
        </w:rPr>
        <w:t xml:space="preserve">The product line PDD exited</w:t>
      </w:r>
    </w:p>
    <w:p>
      <w:pPr>
        <w:spacing w:after="160" w:line="276"/>
      </w:pPr>
      <w:r>
        <w:rPr>
          <w:rFonts w:ascii="Arial" w:cs="Arial" w:eastAsia="Arial" w:hAnsi="Arial"/>
          <w:sz w:val="22"/>
          <w:szCs w:val="22"/>
        </w:rPr>
        <w:t xml:space="preserve">Between 2020 and 2022 PDD ran a first-party merchandise business — buying and reselling goods, largely tied to Duo Duo Grocery. It reached RMB7,246.1m of revenue in 2021 and then collapsed to RMB209.2m in 2022, the FY2022 20-F saying only that the company had scaled it down. From the FY2023 annual report the line was eliminated entirely and folded into online marketing services. The economics explain the retreat: first-party sales carry inventory, working capital and a gross margin in the low twenties, against a marketplace fee stream that carries none of the three. PDD tried owning goods once and stopped.</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60" w:line="276"/>
      </w:pPr>
      <w:r>
        <w:rPr>
          <w:rFonts w:ascii="Arial" w:cs="Arial" w:eastAsia="Arial" w:hAnsi="Arial"/>
          <w:sz w:val="22"/>
          <w:szCs w:val="22"/>
        </w:rPr>
        <w:t xml:space="preserve">Chinese e-commerce marketplaces sell attention, not merchandise. The profit pool sits in the advertising and commission layer, which is close to costless to deliver once the traffic exists, and it is thin everywhere else: logistics is a utility, payment is a toll, and merchants absorb the price competition. The industry's structure is therefore a contest for the top of the funnel, and everything downstream is a cost centre that someone has to carry.</w:t>
      </w:r>
    </w:p>
    <w:p>
      <w:pPr>
        <w:spacing w:after="160" w:line="276"/>
      </w:pPr>
      <w:r>
        <w:rPr>
          <w:rFonts w:ascii="Arial" w:cs="Arial" w:eastAsia="Arial" w:hAnsi="Arial"/>
          <w:sz w:val="22"/>
          <w:szCs w:val="22"/>
        </w:rPr>
        <w:t xml:space="preserve">The domestic market has stopped growing as a category. China's online retail of physical goods reached RMB13,092.3bn in 2025, up 5.2%, against total retail sales of RMB50,120.2bn, up 3.7% — online penetration of 26.1%. In the first half of 2026 total retail grew just 1.3% and online physical goods 4.8%, leaving penetration at roughly 25.8% (National Bureau of Statistics). CNNIC's survey to December 2025 counts 937 million online shoppers, 83.2% of all Chinese internet users. There are no new buyers and no meaningful shift left to capture, which makes share a zero-sum contest between platforms rather than a rising tide.</w:t>
      </w:r>
    </w:p>
    <w:p>
      <w:pPr>
        <w:pStyle w:val="Heading2"/>
        <w:spacing w:after="180" w:before="180"/>
      </w:pPr>
      <w:r>
        <w:rPr>
          <w:rFonts w:ascii="Arial" w:cs="Arial" w:eastAsia="Arial" w:hAnsi="Arial"/>
          <w:b/>
          <w:bCs/>
          <w:color w:val="1F3864"/>
          <w:sz w:val="28"/>
          <w:szCs w:val="28"/>
        </w:rPr>
        <w:t xml:space="preserve">The industry's central metric is no longer disclosed by anyone</w:t>
      </w:r>
    </w:p>
    <w:p>
      <w:pPr>
        <w:spacing w:after="160" w:line="276"/>
      </w:pPr>
      <w:r>
        <w:rPr>
          <w:rFonts w:ascii="Arial" w:cs="Arial" w:eastAsia="Arial" w:hAnsi="Arial"/>
          <w:sz w:val="22"/>
          <w:szCs w:val="22"/>
        </w:rPr>
        <w:t xml:space="preserve">Take rate — monetisation revenue divided by gross merchandise value — is how these businesses are conventionally judged. It can no longer be computed for any major Chinese platform. Alibaba defines the metric in its FY2026 Form 20-F but publishes no GMV figure. JD publishes none. PDD last disclosed GMV for FY2020, at RMB1,667.6bn, and the FY2021 20-F was the last to report GMV, annual active buyers (868.7 million) and monthly active users (733.4 million). Every figure in circulation for PDD's take rate is therefore built on an estimated denominator, and none belongs in an investment case. That the entire industry withdrew the disclosure as competition intensified is itself the finding.</w:t>
      </w:r>
    </w:p>
    <w:p>
      <w:pPr>
        <w:pStyle w:val="Heading2"/>
        <w:spacing w:after="180" w:before="180"/>
      </w:pPr>
      <w:r>
        <w:rPr>
          <w:rFonts w:ascii="Arial" w:cs="Arial" w:eastAsia="Arial" w:hAnsi="Arial"/>
          <w:b/>
          <w:bCs/>
          <w:color w:val="1F3864"/>
          <w:sz w:val="28"/>
          <w:szCs w:val="28"/>
        </w:rPr>
        <w:t xml:space="preserve">Which barriers actually bind</w:t>
      </w:r>
    </w:p>
    <w:p>
      <w:pPr>
        <w:spacing w:after="160" w:line="276"/>
      </w:pPr>
      <w:r>
        <w:rPr>
          <w:rFonts w:ascii="Arial" w:cs="Arial" w:eastAsia="Arial" w:hAnsi="Arial"/>
          <w:sz w:val="22"/>
          <w:szCs w:val="22"/>
        </w:rPr>
        <w:t xml:space="preserve">Two pieces of evidence establish that marketplace position in China is weaker than it looks. The first is merchant multi-homing. In April 2021 SAMR fined Alibaba RMB18.228bn — 4% of its 2019 China turnover — for requiring merchants not to open stores on competing platforms. The conduct only makes commercial sense if merchants would otherwise list everywhere, and the remedy made multi-homing permanent; the Anti-Unfair Competition Law amended with effect from 15 October 2025 goes further, barring platforms from forcing merchants to sell below cost. A platform cannot durably raise its take on merchants who can list elsewhere at no cost.</w:t>
      </w:r>
    </w:p>
    <w:p>
      <w:pPr>
        <w:spacing w:after="160" w:line="276"/>
      </w:pPr>
      <w:r>
        <w:rPr>
          <w:rFonts w:ascii="Arial" w:cs="Arial" w:eastAsia="Arial" w:hAnsi="Arial"/>
          <w:sz w:val="22"/>
          <w:szCs w:val="22"/>
        </w:rPr>
        <w:t xml:space="preserve">The second is Douyin. A white paper issued jointly by SAMR's Development Research Centre and the Chinese Academy of Social Sciences on 17 March 2026 puts 2025 livestream e-commerce GMV above RMB5 trillion, close to a third of national online retail, and credits content commerce with roughly 80% of the industry's incremental growth. ByteDance built that from nothing in under six years. No incumbent's merchant base, logistics network or payment rails slowed it, because entry happened one layer upstream, at the point where consumer attention is created. Marketplace scale did not defend against an attack on the demand side, and PDD's own position was itself built the same way.</w:t>
      </w:r>
    </w:p>
    <w:p>
      <w:pPr>
        <w:pStyle w:val="Heading2"/>
        <w:spacing w:after="180" w:before="180"/>
      </w:pPr>
      <w:r>
        <w:rPr>
          <w:rFonts w:ascii="Arial" w:cs="Arial" w:eastAsia="Arial" w:hAnsi="Arial"/>
          <w:b/>
          <w:bCs/>
          <w:color w:val="1F3864"/>
          <w:sz w:val="28"/>
          <w:szCs w:val="28"/>
        </w:rPr>
        <w:t xml:space="preserve">What competitors' economics show</w:t>
      </w:r>
    </w:p>
    <w:p>
      <w:pPr>
        <w:spacing w:after="160" w:line="276"/>
      </w:pPr>
      <w:r>
        <w:rPr>
          <w:rFonts w:ascii="Arial" w:cs="Arial" w:eastAsia="Arial" w:hAnsi="Arial"/>
          <w:sz w:val="22"/>
          <w:szCs w:val="22"/>
        </w:rPr>
        <w:t xml:space="preserve">Through the 2025 and 2026 instant-commerce subsidy war, the asset-heavy operators destroyed most of their profitability while PDD kept the large majority of its own. Alibaba's China e-commerce adjusted EBITA fell 44% to RMB107,509m in the year to March 2026 and group free cash flow was negative RMB46,609m. JD's consolidated operating margin fell to 0.2% in FY2025 from 3.3%, with its New Businesses unit losing RMB46.6bn, even though JD owns the deepest fulfilment network in the country. Meituan reported a net loss of RMB23.4bn for FY2025 (press-reported from the annual results announcement). PDD's operating margin over the same period fell from 27.5% to 21.6%, and was 24.7% in the quarter to June 2026.</w:t>
      </w:r>
    </w:p>
    <w:p>
      <w:pPr>
        <w:spacing w:after="160" w:line="276"/>
      </w:pPr>
      <w:r>
        <w:rPr>
          <w:rFonts w:ascii="Arial" w:cs="Arial" w:eastAsia="Arial" w:hAnsi="Arial"/>
          <w:sz w:val="22"/>
          <w:szCs w:val="22"/>
        </w:rPr>
        <w:t xml:space="preserve">The causal reading matters: PDD outperformed because it had no delivery network to defend and therefore no obligation to enter the subsidy war, not because it repelled an attack. Fixed assets were the liability — they compelled a defence of delivery while supplying no pricing power when a content platform came for the demand side.</w:t>
      </w:r>
    </w:p>
    <w:p>
      <w:pPr>
        <w:pStyle w:val="Heading2"/>
        <w:spacing w:after="180" w:before="180"/>
      </w:pPr>
      <w:r>
        <w:rPr>
          <w:rFonts w:ascii="Arial" w:cs="Arial" w:eastAsia="Arial" w:hAnsi="Arial"/>
          <w:b/>
          <w:bCs/>
          <w:color w:val="1F3864"/>
          <w:sz w:val="28"/>
          <w:szCs w:val="28"/>
        </w:rPr>
        <w:t xml:space="preserve">The cross-border set</w:t>
      </w:r>
    </w:p>
    <w:p>
      <w:pPr>
        <w:spacing w:after="160" w:line="276"/>
      </w:pPr>
      <w:r>
        <w:rPr>
          <w:rFonts w:ascii="Arial" w:cs="Arial" w:eastAsia="Arial" w:hAnsi="Arial"/>
          <w:sz w:val="22"/>
          <w:szCs w:val="22"/>
        </w:rPr>
        <w:t xml:space="preserve">Temu's competitive field looks worse, and it now has a filed comparable. Shein, which listed in Hong Kong on 1 September 2026 at roughly a $25bn valuation, disclosed revenue of $41.8bn for 2025, up 8%, with net income of $2.064bn against $3.365bn in 2024 — and a net loss of $99m in the first quarter of 2026 with US revenue down 14.3%. A China-direct model with published accounts went from an 8.7% net margin to a loss in four quarters while revenue was still growing. Alibaba's AliExpress reached operating profit for the first time in the June 2026 quarter, explicitly on logistics optimisation and a rising share of local supply, but did so with international e-commerce revenue down 1%. Amazon has expanded its Haul offering to more than six million items under $10 and has never disclosed its economics; the strategic point is that Haul is funded by a North American segment earning roughly 8% operating margins, which Temu's equivalent is not.</w:t>
      </w:r>
    </w:p>
    <w:p>
      <w:pPr>
        <w:spacing w:after="160" w:line="276"/>
      </w:pPr>
      <w:r>
        <w:rPr>
          <w:rFonts w:ascii="Arial" w:cs="Arial" w:eastAsia="Arial" w:hAnsi="Arial"/>
          <w:sz w:val="22"/>
          <w:szCs w:val="22"/>
        </w:rPr>
        <w:t xml:space="preserve">Essentially no one earns a durable profit in cross-border discount commerce at scale. Where profit has appeared, it has arrived alongside growth stopping.</w:t>
      </w:r>
    </w:p>
    <w:p>
      <w:pPr>
        <w:pStyle w:val="Heading2"/>
        <w:spacing w:after="180" w:before="180"/>
      </w:pPr>
      <w:r>
        <w:rPr>
          <w:rFonts w:ascii="Arial" w:cs="Arial" w:eastAsia="Arial" w:hAnsi="Arial"/>
          <w:b/>
          <w:bCs/>
          <w:color w:val="1F3864"/>
          <w:sz w:val="28"/>
          <w:szCs w:val="28"/>
        </w:rPr>
        <w:t xml:space="preserve">What kind of company wins here, and whether PDD is one</w:t>
      </w:r>
    </w:p>
    <w:p>
      <w:pPr>
        <w:spacing w:after="160" w:line="276"/>
      </w:pPr>
      <w:r>
        <w:rPr>
          <w:rFonts w:ascii="Arial" w:cs="Arial" w:eastAsia="Arial" w:hAnsi="Arial"/>
          <w:sz w:val="22"/>
          <w:szCs w:val="22"/>
        </w:rPr>
        <w:t xml:space="preserve">The evidence supports a narrow version of PDD's position and contradicts the broad one. What has actually produced durable profit in Chinese e-commerce is control of a cheap demand funnel combined with the absence of fixed obligations that force a defensive response. PDD has both, and its FY2025 margins against Alibaba's, JD's and Meituan's are the proof. But that is a superior cost structure, not a moat, because it is precisely what Douyin also had and used to take a third of the market from incumbents who in 2019 looked far better entrenched than PDD looks today. Merchant multi-homing, now legally protected, caps what PDD can extract; the disappearance of GMV disclosure across the industry means the central question — whether PDD's monetisation rate is rising, flat or being competed down — cannot be answered from any primary source. High current returns on a genuinely better cost structure, with contestable and unverifiable durability, is the honest description.</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60" w:line="276"/>
      </w:pPr>
      <w:r>
        <w:rPr>
          <w:rFonts w:ascii="Arial" w:cs="Arial" w:eastAsia="Arial" w:hAnsi="Arial"/>
          <w:sz w:val="22"/>
          <w:szCs w:val="22"/>
        </w:rPr>
        <w:t xml:space="preserve">PDD has completed no material acquisitions in its eight years as a public company. No cash-flow line for acquisitions net of cash acquired appears in any 20-F from FY2018 to FY2025. Reported growth is therefore organic growth in full, which removes the usual decomposition problem — and creates a different one. Because the company reports a single segment with no geographic split, growth cannot be separated between Pinduoduo and Temu, or between China and everywhere else, by any investor working from the filings.</w:t>
      </w:r>
    </w:p>
    <w:p>
      <w:pPr>
        <w:spacing w:after="160" w:line="276"/>
      </w:pPr>
      <w:r>
        <w:rPr>
          <w:rFonts w:ascii="Arial" w:cs="Arial" w:eastAsia="Arial" w:hAnsi="Arial"/>
          <w:sz w:val="22"/>
          <w:szCs w:val="22"/>
        </w:rPr>
        <w:t xml:space="preserve">What can be decomposed is the merchant equation. FY2025 revenue rose 9.7% to RMB431,845.7m. Active merchants rose 6.3% to 16.8 million and revenue per active merchant rose 3.1% to RMB25,705 (calculated from the FY2025 20-F). Roughly two-thirds of last year's growth came from adding merchants and one-third from earning more per merchant. That is volume-led growth, and it is the weaker of the two mixes: adding merchants extends reach into an ever longer tail, while monetising the existing base is what evidences pricing power.</w:t>
      </w:r>
    </w:p>
    <w:p>
      <w:pPr>
        <w:pStyle w:val="Heading2"/>
        <w:spacing w:after="180" w:before="180"/>
      </w:pPr>
      <w:r>
        <w:rPr>
          <w:rFonts w:ascii="Arial" w:cs="Arial" w:eastAsia="Arial" w:hAnsi="Arial"/>
          <w:b/>
          <w:bCs/>
          <w:color w:val="1F3864"/>
          <w:sz w:val="28"/>
          <w:szCs w:val="28"/>
        </w:rPr>
        <w:t xml:space="preserve">The revenue lines have separated</w:t>
      </w:r>
    </w:p>
    <w:p>
      <w:pPr>
        <w:spacing w:after="160" w:line="276"/>
      </w:pPr>
      <w:r>
        <w:rPr>
          <w:rFonts w:ascii="Arial" w:cs="Arial" w:eastAsia="Arial" w:hAnsi="Arial"/>
          <w:sz w:val="22"/>
          <w:szCs w:val="22"/>
        </w:rPr>
        <w:t xml:space="preserve">The two revenue lines grew at similar rates across FY2025 — online marketing up 10.0%, transaction services up 9.3% — but the 2026 quarters pulled them apart sharply. In the March quarter online marketing grew 2.5% while transaction services grew 20%; in the June quarter, 3.4% against 13%. Advertising is the older, higher-margin monetisation of the Chinese marketplace, and it has essentially stopped growing. The line still carrying growth is the fee stream on transactions, which the company attributes to more merchants and more value-added services, and which is the line most plausibly weighted toward Temu (inferred — PDD does not disclose the split). Half the business has stalled and the other half is compensating.</w:t>
      </w:r>
    </w:p>
    <w:p>
      <w:pPr>
        <w:pStyle w:val="Heading2"/>
        <w:spacing w:after="180" w:before="180"/>
      </w:pPr>
      <w:r>
        <w:rPr>
          <w:rFonts w:ascii="Arial" w:cs="Arial" w:eastAsia="Arial" w:hAnsi="Arial"/>
          <w:b/>
          <w:bCs/>
          <w:color w:val="1F3864"/>
          <w:sz w:val="28"/>
          <w:szCs w:val="28"/>
        </w:rPr>
        <w:t xml:space="preserve">Growth levers, ranked</w:t>
      </w:r>
    </w:p>
    <w:p>
      <w:pPr>
        <w:pStyle w:val="ListParagraph"/>
        <w:numPr>
          <w:ilvl w:val="0"/>
          <w:numId w:val="2"/>
        </w:numPr>
        <w:spacing w:after="120" w:line="276"/>
      </w:pPr>
      <w:r>
        <w:rPr>
          <w:rFonts w:ascii="Arial" w:cs="Arial" w:eastAsia="Arial" w:hAnsi="Arial"/>
          <w:b/>
          <w:bCs/>
          <w:sz w:val="22"/>
          <w:szCs w:val="22"/>
        </w:rPr>
        <w:t xml:space="preserve">Merchant count. </w:t>
      </w:r>
      <w:r>
        <w:rPr>
          <w:rFonts w:ascii="Arial" w:cs="Arial" w:eastAsia="Arial" w:hAnsi="Arial"/>
          <w:sz w:val="22"/>
          <w:szCs w:val="22"/>
        </w:rPr>
        <w:t xml:space="preserve">Structural. Contributed roughly two-thirds of FY2025 growth, at 16.8 million merchants and rising 6.3%. It works while Chinese manufacturing overcapacity keeps producing sellers with nowhere else to go, and China's producer prices fell 2.6% across 2025 (BOFIT, citing NBS data), so the supply of such sellers is not scarce.</w:t>
      </w:r>
    </w:p>
    <w:p>
      <w:pPr>
        <w:pStyle w:val="ListParagraph"/>
        <w:numPr>
          <w:ilvl w:val="0"/>
          <w:numId w:val="2"/>
        </w:numPr>
        <w:spacing w:after="120" w:line="276"/>
      </w:pPr>
      <w:r>
        <w:rPr>
          <w:rFonts w:ascii="Arial" w:cs="Arial" w:eastAsia="Arial" w:hAnsi="Arial"/>
          <w:b/>
          <w:bCs/>
          <w:sz w:val="22"/>
          <w:szCs w:val="22"/>
        </w:rPr>
        <w:t xml:space="preserve">Transaction-services attach rate. </w:t>
      </w:r>
      <w:r>
        <w:rPr>
          <w:rFonts w:ascii="Arial" w:cs="Arial" w:eastAsia="Arial" w:hAnsi="Arial"/>
          <w:sz w:val="22"/>
          <w:szCs w:val="22"/>
        </w:rPr>
        <w:t xml:space="preserve">Management-driven. Transaction-services revenue per merchant doubled between FY2023 and FY2024 (RMB6,627 to RMB12,399) and then rose just 2.8% in FY2025. The step change is complete; what remains is incremental.</w:t>
      </w:r>
    </w:p>
    <w:p>
      <w:pPr>
        <w:pStyle w:val="ListParagraph"/>
        <w:numPr>
          <w:ilvl w:val="0"/>
          <w:numId w:val="2"/>
        </w:numPr>
        <w:spacing w:after="120" w:line="276"/>
      </w:pPr>
      <w:r>
        <w:rPr>
          <w:rFonts w:ascii="Arial" w:cs="Arial" w:eastAsia="Arial" w:hAnsi="Arial"/>
          <w:b/>
          <w:bCs/>
          <w:sz w:val="22"/>
          <w:szCs w:val="22"/>
        </w:rPr>
        <w:t xml:space="preserve">International expansion. </w:t>
      </w:r>
      <w:r>
        <w:rPr>
          <w:rFonts w:ascii="Arial" w:cs="Arial" w:eastAsia="Arial" w:hAnsi="Arial"/>
          <w:sz w:val="22"/>
          <w:szCs w:val="22"/>
        </w:rPr>
        <w:t xml:space="preserve">Structural but regulatorily constrained. Temu is the growth engine PDD will not quantify. Its addressable expansion is real, but every major destination market has moved against low-value parcel imports within the last sixteen months (Section 6).</w:t>
      </w:r>
    </w:p>
    <w:p>
      <w:pPr>
        <w:pStyle w:val="ListParagraph"/>
        <w:numPr>
          <w:ilvl w:val="0"/>
          <w:numId w:val="2"/>
        </w:numPr>
        <w:spacing w:after="120" w:line="276"/>
      </w:pPr>
      <w:r>
        <w:rPr>
          <w:rFonts w:ascii="Arial" w:cs="Arial" w:eastAsia="Arial" w:hAnsi="Arial"/>
          <w:b/>
          <w:bCs/>
          <w:sz w:val="22"/>
          <w:szCs w:val="22"/>
        </w:rPr>
        <w:t xml:space="preserve">Advertising monetisation of the Chinese base. </w:t>
      </w:r>
      <w:r>
        <w:rPr>
          <w:rFonts w:ascii="Arial" w:cs="Arial" w:eastAsia="Arial" w:hAnsi="Arial"/>
          <w:sz w:val="22"/>
          <w:szCs w:val="22"/>
        </w:rPr>
        <w:t xml:space="preserve">Cyclical, and currently negative in real terms. Growth of 2.5% and 3.4% in the 2026 quarters against Chinese consumer goods CPI of +0.2% year-on-year in July 2026 means the domestic monetisation engine is barely growing at all.</w:t>
      </w:r>
    </w:p>
    <w:p>
      <w:pPr>
        <w:pStyle w:val="ListParagraph"/>
        <w:numPr>
          <w:ilvl w:val="0"/>
          <w:numId w:val="2"/>
        </w:numPr>
        <w:spacing w:after="120" w:line="276"/>
      </w:pPr>
      <w:r>
        <w:rPr>
          <w:rFonts w:ascii="Arial" w:cs="Arial" w:eastAsia="Arial" w:hAnsi="Arial"/>
          <w:b/>
          <w:bCs/>
          <w:sz w:val="22"/>
          <w:szCs w:val="22"/>
        </w:rPr>
        <w:t xml:space="preserve">Interest on the cash balance. </w:t>
      </w:r>
      <w:r>
        <w:rPr>
          <w:rFonts w:ascii="Arial" w:cs="Arial" w:eastAsia="Arial" w:hAnsi="Arial"/>
          <w:sz w:val="22"/>
          <w:szCs w:val="22"/>
        </w:rPr>
        <w:t xml:space="preserve">Temporary and non-operating. Net interest and investment income has more than doubled since FY2023 as the cash pile compounded, and Section 5 sizes it. It is not growth in the business at all.</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60" w:line="276"/>
      </w:pPr>
      <w:r>
        <w:rPr>
          <w:rFonts w:ascii="Arial" w:cs="Arial" w:eastAsia="Arial" w:hAnsi="Arial"/>
          <w:sz w:val="22"/>
          <w:szCs w:val="22"/>
        </w:rPr>
        <w:t xml:space="preserve">Gross margin fell from 63.0% in FY2023 to 60.9% in FY2024 to 56.3% in FY2025, because cost of revenues grew 23% while revenue grew 10%. The company attributes the increase to fulfilment fees, bandwidth and server costs, and payment processing fees. That composition is the mechanism worth understanding: fulfilment and payment scale with orders rather than with the advertising revenue that used to carry the mix, so as transaction services grew from 38% to 50% of revenue between FY2023 and FY2025, the business mechanically became less profitable per unit of revenue. The gross margin decline is not a pricing failure. It is the arithmetic of a mix shift toward a lower-margin revenue line.</w:t>
      </w:r>
    </w:p>
    <w:p>
      <w:pPr>
        <w:spacing w:after="160" w:line="276"/>
      </w:pPr>
      <w:r>
        <w:rPr>
          <w:rFonts w:ascii="Arial" w:cs="Arial" w:eastAsia="Arial" w:hAnsi="Arial"/>
          <w:sz w:val="22"/>
          <w:szCs w:val="22"/>
        </w:rPr>
        <w:t xml:space="preserve">Sales and marketing is the second lever and the one management controls. It fell from 102.5% of revenue in FY2018 to 28.3% in FY2024 as the platform stopped buying users, then rose back to 29.0% in FY2025 on an increase of RMB12,956.7m in advertising, promotion and coupon expense. Operating margin therefore fell from 27.5% to 21.6% — the gross margin decline and the marketing increase in roughly equal measure.</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AFBBD0" w:sz="4"/>
          <w:left w:val="single" w:color="AFBBD0" w:sz="4"/>
          <w:bottom w:val="single" w:color="AFBBD0" w:sz="4"/>
          <w:right w:val="single" w:color="AFBBD0" w:sz="4"/>
          <w:insideH w:val="single" w:color="CFD8E6" w:sz="2"/>
          <w:insideV w:val="single" w:color="CFD8E6" w:sz="2"/>
        </w:tblBorders>
      </w:tblPr>
      <w:tblGrid>
        <w:gridCol w:w="2660"/>
        <w:gridCol w:w="1675"/>
        <w:gridCol w:w="1675"/>
        <w:gridCol w:w="1675"/>
        <w:gridCol w:w="1675"/>
      </w:tblGrid>
      <w:tr>
        <w:trPr>
          <w:tblHeader/>
        </w:trPr>
        <w:tc>
          <w:tcPr>
            <w:tcW w:type="dxa" w:w="2660"/>
            <w:shd w:fill="E8EDF5"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20"/>
                <w:szCs w:val="20"/>
              </w:rPr>
              <w:t xml:space="preserve">RMB millions unless stated</w:t>
            </w:r>
          </w:p>
        </w:tc>
        <w:tc>
          <w:tcPr>
            <w:tcW w:type="dxa" w:w="1675"/>
            <w:shd w:fill="E8EDF5" w:color="auto" w:val="clear"/>
            <w:tcMar>
              <w:top w:type="dxa" w:w="80"/>
              <w:left w:type="dxa" w:w="120"/>
              <w:bottom w:type="dxa" w:w="80"/>
              <w:right w:type="dxa" w:w="120"/>
            </w:tcMar>
          </w:tcPr>
          <w:p>
            <w:pPr>
              <w:spacing w:after="0" w:line="252"/>
              <w:jc w:val="right"/>
            </w:pPr>
            <w:r>
              <w:rPr>
                <w:rFonts w:ascii="Arial" w:cs="Arial" w:eastAsia="Arial" w:hAnsi="Arial"/>
                <w:b/>
                <w:bCs/>
                <w:i w:val="false"/>
                <w:iCs w:val="false"/>
                <w:sz w:val="20"/>
                <w:szCs w:val="20"/>
              </w:rPr>
              <w:t xml:space="preserve">FY2019</w:t>
            </w:r>
          </w:p>
        </w:tc>
        <w:tc>
          <w:tcPr>
            <w:tcW w:type="dxa" w:w="1675"/>
            <w:shd w:fill="E8EDF5" w:color="auto" w:val="clear"/>
            <w:tcMar>
              <w:top w:type="dxa" w:w="80"/>
              <w:left w:type="dxa" w:w="120"/>
              <w:bottom w:type="dxa" w:w="80"/>
              <w:right w:type="dxa" w:w="120"/>
            </w:tcMar>
          </w:tcPr>
          <w:p>
            <w:pPr>
              <w:spacing w:after="0" w:line="252"/>
              <w:jc w:val="right"/>
            </w:pPr>
            <w:r>
              <w:rPr>
                <w:rFonts w:ascii="Arial" w:cs="Arial" w:eastAsia="Arial" w:hAnsi="Arial"/>
                <w:b/>
                <w:bCs/>
                <w:i w:val="false"/>
                <w:iCs w:val="false"/>
                <w:sz w:val="20"/>
                <w:szCs w:val="20"/>
              </w:rPr>
              <w:t xml:space="preserve">FY2021</w:t>
            </w:r>
          </w:p>
        </w:tc>
        <w:tc>
          <w:tcPr>
            <w:tcW w:type="dxa" w:w="1675"/>
            <w:shd w:fill="E8EDF5" w:color="auto" w:val="clear"/>
            <w:tcMar>
              <w:top w:type="dxa" w:w="80"/>
              <w:left w:type="dxa" w:w="120"/>
              <w:bottom w:type="dxa" w:w="80"/>
              <w:right w:type="dxa" w:w="120"/>
            </w:tcMar>
          </w:tcPr>
          <w:p>
            <w:pPr>
              <w:spacing w:after="0" w:line="252"/>
              <w:jc w:val="right"/>
            </w:pPr>
            <w:r>
              <w:rPr>
                <w:rFonts w:ascii="Arial" w:cs="Arial" w:eastAsia="Arial" w:hAnsi="Arial"/>
                <w:b/>
                <w:bCs/>
                <w:i w:val="false"/>
                <w:iCs w:val="false"/>
                <w:sz w:val="20"/>
                <w:szCs w:val="20"/>
              </w:rPr>
              <w:t xml:space="preserve">FY2024</w:t>
            </w:r>
          </w:p>
        </w:tc>
        <w:tc>
          <w:tcPr>
            <w:tcW w:type="dxa" w:w="1675"/>
            <w:shd w:fill="E8EDF5" w:color="auto" w:val="clear"/>
            <w:tcMar>
              <w:top w:type="dxa" w:w="80"/>
              <w:left w:type="dxa" w:w="120"/>
              <w:bottom w:type="dxa" w:w="80"/>
              <w:right w:type="dxa" w:w="120"/>
            </w:tcMar>
          </w:tcPr>
          <w:p>
            <w:pPr>
              <w:spacing w:after="0" w:line="252"/>
              <w:jc w:val="right"/>
            </w:pPr>
            <w:r>
              <w:rPr>
                <w:rFonts w:ascii="Arial" w:cs="Arial" w:eastAsia="Arial" w:hAnsi="Arial"/>
                <w:b/>
                <w:bCs/>
                <w:i w:val="false"/>
                <w:iCs w:val="false"/>
                <w:sz w:val="20"/>
                <w:szCs w:val="20"/>
              </w:rPr>
              <w:t xml:space="preserve">FY2025</w:t>
            </w:r>
          </w:p>
        </w:tc>
      </w:tr>
      <w:tr>
        <w:trPr>
          <w:tblHeader w:val="false"/>
        </w:trPr>
        <w:tc>
          <w:tcPr>
            <w:tcW w:type="dxa" w:w="26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Revenue</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30,141.9</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93,949.9</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393,836.1</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431,845.7</w:t>
            </w:r>
          </w:p>
        </w:tc>
      </w:tr>
      <w:tr>
        <w:trPr>
          <w:tblHeader w:val="false"/>
        </w:trPr>
        <w:tc>
          <w:tcPr>
            <w:tcW w:type="dxa" w:w="26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Gross margin</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79.0%</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66.2%</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60.9%</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56.3%</w:t>
            </w:r>
          </w:p>
        </w:tc>
      </w:tr>
      <w:tr>
        <w:trPr>
          <w:tblHeader w:val="false"/>
        </w:trPr>
        <w:tc>
          <w:tcPr>
            <w:tcW w:type="dxa" w:w="26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Sales and marketing, % of revenue</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90.2%</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47.7%</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28.3%</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29.0%</w:t>
            </w:r>
          </w:p>
        </w:tc>
      </w:tr>
      <w:tr>
        <w:trPr>
          <w:tblHeader w:val="false"/>
        </w:trPr>
        <w:tc>
          <w:tcPr>
            <w:tcW w:type="dxa" w:w="26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Operating profit / (loss)</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(8,538.2)</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6,896.8</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108,422.9</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93,102.1</w:t>
            </w:r>
          </w:p>
        </w:tc>
      </w:tr>
      <w:tr>
        <w:trPr>
          <w:tblHeader w:val="false"/>
        </w:trPr>
        <w:tc>
          <w:tcPr>
            <w:tcW w:type="dxa" w:w="26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Net cash from operating activities</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14,821.0</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28,783.0</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121,929.3</w:t>
            </w:r>
          </w:p>
        </w:tc>
        <w:tc>
          <w:tcPr>
            <w:tcW w:type="dxa" w:w="1675"/>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106,938.7</w:t>
            </w:r>
          </w:p>
        </w:tc>
      </w:tr>
      <w:tr>
        <w:trPr>
          <w:tblHeader w:val="false"/>
        </w:trPr>
        <w:tc>
          <w:tcPr>
            <w:tcW w:type="dxa" w:w="26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20"/>
                <w:szCs w:val="20"/>
              </w:rPr>
              <w:t xml:space="preserve">Cash and short-term investments</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41,057.0</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92,943.3</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331,560.0</w:t>
            </w:r>
          </w:p>
        </w:tc>
        <w:tc>
          <w:tcPr>
            <w:tcW w:type="dxa" w:w="1675"/>
            <w:shd w:fill="F5F7FA" w:color="auto" w:val="clear"/>
            <w:tcMar>
              <w:top w:type="dxa" w:w="80"/>
              <w:left w:type="dxa" w:w="120"/>
              <w:bottom w:type="dxa" w:w="80"/>
              <w:right w:type="dxa" w:w="120"/>
            </w:tcMar>
          </w:tcPr>
          <w:p>
            <w:pPr>
              <w:spacing w:after="0" w:line="252"/>
              <w:jc w:val="right"/>
            </w:pPr>
            <w:r>
              <w:rPr>
                <w:rFonts w:ascii="Arial" w:cs="Arial" w:eastAsia="Arial" w:hAnsi="Arial"/>
                <w:b w:val="false"/>
                <w:bCs w:val="false"/>
                <w:i w:val="false"/>
                <w:iCs w:val="false"/>
                <w:sz w:val="20"/>
                <w:szCs w:val="20"/>
              </w:rPr>
              <w:t xml:space="preserve">422,308.3</w:t>
            </w:r>
          </w:p>
        </w:tc>
      </w:tr>
    </w:tbl>
    <w:p>
      <w:pPr>
        <w:spacing w:after="200" w:before="100"/>
      </w:pPr>
      <w:r>
        <w:rPr>
          <w:rFonts w:ascii="Arial" w:cs="Arial" w:eastAsia="Arial" w:hAnsi="Arial"/>
          <w:i/>
          <w:iCs/>
          <w:color w:val="595959"/>
          <w:sz w:val="18"/>
          <w:szCs w:val="18"/>
        </w:rPr>
        <w:t xml:space="preserve">Sources: FY2019, FY2021, FY2024 and FY2025 Forms 20-F. Years chosen to show the shape of the change rather than every year available. Two comparability breaks apply. First, the first-party merchandise sales line existed in FY2020 to FY2022 and was folded into online marketing services from the FY2023 20-F, which restated the FY2021 revenue split (total revenue is unaffected). Second, active merchants and revenue per active merchant have only been disclosed since the FY2023 report, so the unit metric cannot be extended back across this table.</w:t>
      </w:r>
    </w:p>
    <w:p>
      <w:pPr>
        <w:pStyle w:val="Heading2"/>
        <w:spacing w:after="180" w:before="180"/>
      </w:pPr>
      <w:r>
        <w:rPr>
          <w:rFonts w:ascii="Arial" w:cs="Arial" w:eastAsia="Arial" w:hAnsi="Arial"/>
          <w:b/>
          <w:bCs/>
          <w:color w:val="1F3864"/>
          <w:sz w:val="28"/>
          <w:szCs w:val="28"/>
        </w:rPr>
        <w:t xml:space="preserve">Cash conversion is real; a fifth of profit is not operating</w:t>
      </w:r>
    </w:p>
    <w:p>
      <w:pPr>
        <w:spacing w:after="160" w:line="276"/>
      </w:pPr>
      <w:r>
        <w:rPr>
          <w:rFonts w:ascii="Arial" w:cs="Arial" w:eastAsia="Arial" w:hAnsi="Arial"/>
          <w:sz w:val="22"/>
          <w:szCs w:val="22"/>
        </w:rPr>
        <w:t xml:space="preserve">The business converts profit to cash better than it reports it. Operating cash flow was RMB106,938.7m in FY2025 against net income of RMB97,842.5m, a ratio of 1.09 times, and the same ratio held in FY2024. The reason is the float. PDD collects from consumers before it pays merchants, so payable to merchants of RMB107,407.2m and merchant deposits of RMB17,708.2m — RMB125.1bn together at the end of FY2025 — fund the working capital cycle at no cost and grow with volume. Capital expenditure was RMB1,145.1m, or 0.27% of revenue, leaving roughly RMB105.8bn of free cash flow (calculated). The 20-F does not split maintenance from growth capex (NOT FOUND), but at this level the distinction barely matters.</w:t>
      </w:r>
    </w:p>
    <w:p>
      <w:pPr>
        <w:spacing w:after="160" w:line="276"/>
      </w:pPr>
      <w:r>
        <w:rPr>
          <w:rFonts w:ascii="Arial" w:cs="Arial" w:eastAsia="Arial" w:hAnsi="Arial"/>
          <w:sz w:val="22"/>
          <w:szCs w:val="22"/>
        </w:rPr>
        <w:t xml:space="preserve">Set against that, a growing share of reported profit is not earned in the business. Net interest and investment income was RMB25,583.8m in FY2025, equal to </w:t>
      </w:r>
      <w:r>
        <w:rPr>
          <w:rFonts w:ascii="Arial" w:cs="Arial" w:eastAsia="Arial" w:hAnsi="Arial"/>
          <w:b/>
          <w:bCs/>
          <w:sz w:val="22"/>
          <w:szCs w:val="22"/>
        </w:rPr>
        <w:t xml:space="preserve">21.4% of pre-tax profit</w:t>
      </w:r>
      <w:r>
        <w:rPr>
          <w:rFonts w:ascii="Arial" w:cs="Arial" w:eastAsia="Arial" w:hAnsi="Arial"/>
          <w:sz w:val="22"/>
          <w:szCs w:val="22"/>
        </w:rPr>
        <w:t xml:space="preserve">, up from 15.5% in FY2024 and 14.2% in FY2023 (calculated). Two other non-operating items moved the same way: a foreign exchange loss of RMB1,966.6m in FY2025 against a RMB587.9m gain in FY2024, and an effective tax rate that rose from 15.3% to 18.2%, worth roughly RMB3.5bn. This is why the 2026 quarters look contradictory. Operating profit rose 22% year-on-year in the March quarter and 8% in the June quarter, while net income fell 15% and 12% respectively. The entire reported earnings decline of the last two quarters sits below the operating line.</w:t>
      </w:r>
    </w:p>
    <w:p>
      <w:pPr>
        <w:pStyle w:val="Heading2"/>
        <w:spacing w:after="180" w:before="180"/>
      </w:pPr>
      <w:r>
        <w:rPr>
          <w:rFonts w:ascii="Arial" w:cs="Arial" w:eastAsia="Arial" w:hAnsi="Arial"/>
          <w:b/>
          <w:bCs/>
          <w:color w:val="1F3864"/>
          <w:sz w:val="28"/>
          <w:szCs w:val="28"/>
        </w:rPr>
        <w:t xml:space="preserve">Where the cash has gone</w:t>
      </w:r>
    </w:p>
    <w:p>
      <w:pPr>
        <w:spacing w:after="160" w:line="276"/>
      </w:pPr>
      <w:r>
        <w:rPr>
          <w:rFonts w:ascii="Arial" w:cs="Arial" w:eastAsia="Arial" w:hAnsi="Arial"/>
          <w:sz w:val="22"/>
          <w:szCs w:val="22"/>
        </w:rPr>
        <w:t xml:space="preserve">Ranked by magnitude across FY2018 to FY2025, capital allocation reads: first and overwhelmingly, deployment into short-term deposits and investments, which is why cash and short-term investments reached RMB422,308.3m at the end of FY2025, up 27.3% in a single year; second, debt retirement, with roughly RMB14.2bn of convertible notes repurchased or repaid, the last of which matured on 1 December 2025 leaving zero convertible debt outstanding; third, capital expenditure, cumulatively about RMB6.7bn over eight years; and then nothing. No acquisitions. No dividend — the 20-F states that the primary use of capital continues to be to invest for the long-term growth of the business. No share repurchase in any year. Diluted share count rose only 1.5% between FY2023 and FY2025, so equity compensation is not diluting shareholders materially, but nor is anything being returned to them.</w:t>
      </w:r>
    </w:p>
    <w:p>
      <w:pPr>
        <w:spacing w:after="160" w:line="276"/>
      </w:pPr>
      <w:r>
        <w:rPr>
          <w:rFonts w:ascii="Arial" w:cs="Arial" w:eastAsia="Arial" w:hAnsi="Arial"/>
          <w:sz w:val="22"/>
          <w:szCs w:val="22"/>
        </w:rPr>
        <w:t xml:space="preserve">What the ranking reveals is a management team that treats retained cash as optionality and has not yet been willing to say what the option is for. Roughly RMB422bn now sits in deposits earning a return that management does not generate and cannot control, in a company that spends 0.27% of revenue on fixed assets. Note also that RMB125,917.4m of net assets in the Chinese subsidiaries and VIE were restricted from distribution at 31 December 2025, so a portion of the balance is not freely available to the Cayman holding company in any case. No announced transaction post-dates the FY2025 figures.</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spacing w:after="160" w:line="276"/>
      </w:pPr>
      <w:r>
        <w:rPr>
          <w:rFonts w:ascii="Arial" w:cs="Arial" w:eastAsia="Arial" w:hAnsi="Arial"/>
          <w:sz w:val="22"/>
          <w:szCs w:val="22"/>
        </w:rPr>
        <w:t xml:space="preserve">PDD sells discretionary consumer goods into a weak consumer economy, but its exposure is not the ordinary cyclical kind. Trading down helps a discount platform: falling Chinese producer prices, down 2.6% across 2025, and export prices down roughly 4% year-on-year supply cheap goods, while soft consumer demand pushes buyers toward the cheapest venue. The cycle PDD is genuinely exposed to is competitive and regulatory, not economic.</w:t>
      </w:r>
    </w:p>
    <w:p>
      <w:pPr>
        <w:pStyle w:val="Heading2"/>
        <w:spacing w:after="180" w:before="180"/>
      </w:pPr>
      <w:r>
        <w:rPr>
          <w:rFonts w:ascii="Arial" w:cs="Arial" w:eastAsia="Arial" w:hAnsi="Arial"/>
          <w:b/>
          <w:bCs/>
          <w:color w:val="1F3864"/>
          <w:sz w:val="28"/>
          <w:szCs w:val="28"/>
        </w:rPr>
        <w:t xml:space="preserve">Where the business sits now</w:t>
      </w:r>
    </w:p>
    <w:p>
      <w:pPr>
        <w:spacing w:after="160" w:line="276"/>
      </w:pPr>
      <w:r>
        <w:rPr>
          <w:rFonts w:ascii="Arial" w:cs="Arial" w:eastAsia="Arial" w:hAnsi="Arial"/>
          <w:sz w:val="22"/>
          <w:szCs w:val="22"/>
        </w:rPr>
        <w:t xml:space="preserve">Against its own history, PDD is off peak on every measure that matters and at a trough on growth. Revenue growth of 8% in the June 2026 quarter is the lowest of its public life, against a peak of 59% in FY2024. Gross margin of 56.3% in FY2025 and 57.3% in the June quarter compares with a recent peak of 63.0% in FY2023. Operating margin of 21.6% in FY2025 compares with 27.5% in FY2024, though the June quarter recovered to 24.7%. Net income has now fallen year-on-year for three consecutive quarters — down 11%, 15% and 12%. The important qualifier is that a 21.6% operating margin is still comfortably the highest in Chinese e-commerce; PDD's trough margin exceeds its competitors' peaks.</w:t>
      </w:r>
    </w:p>
    <w:p>
      <w:pPr>
        <w:pStyle w:val="Heading2"/>
        <w:spacing w:after="180" w:before="180"/>
      </w:pPr>
      <w:r>
        <w:rPr>
          <w:rFonts w:ascii="Arial" w:cs="Arial" w:eastAsia="Arial" w:hAnsi="Arial"/>
          <w:b/>
          <w:bCs/>
          <w:color w:val="1F3864"/>
          <w:sz w:val="28"/>
          <w:szCs w:val="28"/>
        </w:rPr>
        <w:t xml:space="preserve">The constraint that has actually changed: cross-border duty</w:t>
      </w:r>
    </w:p>
    <w:p>
      <w:pPr>
        <w:spacing w:after="160" w:line="276"/>
      </w:pPr>
      <w:r>
        <w:rPr>
          <w:rFonts w:ascii="Arial" w:cs="Arial" w:eastAsia="Arial" w:hAnsi="Arial"/>
          <w:sz w:val="22"/>
          <w:szCs w:val="22"/>
        </w:rPr>
        <w:t xml:space="preserve">The regime that made China-direct parcel commerce cheap has been dismantled, in four jurisdictions, within sixteen months. In the United States, Executive Order 14256 suspended the $800 de minimis exemption for goods from China and Hong Kong from 2 May 2025, and Executive Order 14324 eliminated it for all countries from 29 August 2025. The Supreme Court then struck down the IEEPA tariff authority six to three in Learning Resources v. Trump on 20 February 2026 — and the de minimis suspension survived it, continued by Executive Order 14388 and re-based in June 2026 on the independent statutory authority of 19 U.S.C. section 1321(b), with outright repeal legislated for 1 July 2027. In the European Union, Council Regulation 2026/382 imposes a flat customs duty of EUR3 per item on consignments under EUR150 from 1 July 2026 until 1 July 2028, when full duties apply. France added a EUR2 per-article levy from March 2026 and Italy a EUR2 charge from July 2026 that stacks on the EU fee.</w:t>
      </w:r>
    </w:p>
    <w:p>
      <w:pPr>
        <w:spacing w:after="160" w:line="276"/>
      </w:pPr>
      <w:r>
        <w:rPr>
          <w:rFonts w:ascii="Arial" w:cs="Arial" w:eastAsia="Arial" w:hAnsi="Arial"/>
          <w:sz w:val="22"/>
          <w:szCs w:val="22"/>
        </w:rPr>
        <w:t xml:space="preserve">The mechanism is what makes this structural rather than a cost increase. A flat per-item charge is regressive against low average selling prices, which is exactly what the model is built on: EUR3 on a EUR5 item is a 60% ad-valorem equivalent, while on a EUR20 item it is 15%. The per-shipment cost of customs entry itself is fixed, so it scales inversely with basket size. The regime therefore penalises precisely the small-basket, single-item, high-frequency order that defines discount cross-border commerce, and rewards consolidation and local inventory. PDD's own FY2025 20-F sets out each of these measures in its risk factors. Its response — recruiting local merchants who hold inventory in the destination market — resolves the duty problem by converting Temu from a spread-capturing operator into a commission marketplace, which lowers revenue per order and competes against domestic incumbents on their cost base rather than China's.</w:t>
      </w:r>
    </w:p>
    <w:p>
      <w:pPr>
        <w:spacing w:after="160" w:line="276"/>
      </w:pPr>
      <w:r>
        <w:rPr>
          <w:rFonts w:ascii="Arial" w:cs="Arial" w:eastAsia="Arial" w:hAnsi="Arial"/>
          <w:sz w:val="22"/>
          <w:szCs w:val="22"/>
        </w:rPr>
        <w:t xml:space="preserve">A second input has turned at the same time. IATA cut its 2026 air cargo volume forecast to 0.2% growth and expects yields to rise 6.5% after three consecutive years of decline. Cheap air freight was the other half of the delivered-cost advantage, and it is no longer cheapening.</w:t>
      </w:r>
    </w:p>
    <w:p>
      <w:pPr>
        <w:pStyle w:val="Heading2"/>
        <w:spacing w:after="180" w:before="180"/>
      </w:pPr>
      <w:r>
        <w:rPr>
          <w:rFonts w:ascii="Arial" w:cs="Arial" w:eastAsia="Arial" w:hAnsi="Arial"/>
          <w:b/>
          <w:bCs/>
          <w:color w:val="1F3864"/>
          <w:sz w:val="28"/>
          <w:szCs w:val="28"/>
        </w:rPr>
        <w:t xml:space="preserve">The downside case, as a mechanism</w:t>
      </w:r>
    </w:p>
    <w:p>
      <w:pPr>
        <w:spacing w:after="160" w:line="276"/>
      </w:pPr>
      <w:r>
        <w:rPr>
          <w:rFonts w:ascii="Arial" w:cs="Arial" w:eastAsia="Arial" w:hAnsi="Arial"/>
          <w:sz w:val="22"/>
          <w:szCs w:val="22"/>
        </w:rPr>
        <w:t xml:space="preserve">It runs in sequence rather than as a shock. Duty and entry costs close the landed-price gap against domestic discounters; the cheapest items become uneconomic and assortment narrows; gross profit per order falls, which makes paid customer acquisition unaffordable; advertising spend is cut, and volume follows it down; falling volume forfeits freight consolidation scale just as air yields rise. Third-party estimates are consistent with this having begun — Sensor Tower data relayed in the press puts Temu's global monthly active users down 11% year-on-year in the June 2026 quarter with downloads down 48%, and shows advertising cuts of 74% to 95% on several platforms — but these are estimates, not disclosure, and PDD publishes nothing that would confirm or refute them.</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AFBBD0" w:sz="4"/>
          <w:left w:val="single" w:color="AFBBD0" w:sz="4"/>
          <w:bottom w:val="single" w:color="AFBBD0" w:sz="4"/>
          <w:right w:val="single" w:color="AFBBD0" w:sz="4"/>
          <w:insideH w:val="single" w:color="CFD8E6" w:sz="2"/>
          <w:insideV w:val="single" w:color="CFD8E6" w:sz="2"/>
        </w:tblBorders>
      </w:tblPr>
      <w:tblGrid>
        <w:gridCol w:w="4680"/>
        <w:gridCol w:w="4680"/>
      </w:tblGrid>
      <w:tr>
        <w:trPr>
          <w:tblHeader/>
        </w:trPr>
        <w:tc>
          <w:tcPr>
            <w:tcW w:type="dxa" w:w="4680"/>
            <w:shd w:fill="E8EDF5"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19"/>
                <w:szCs w:val="19"/>
              </w:rPr>
              <w:t xml:space="preserve">Durable — likely intact in ten years</w:t>
            </w:r>
          </w:p>
        </w:tc>
        <w:tc>
          <w:tcPr>
            <w:tcW w:type="dxa" w:w="4680"/>
            <w:shd w:fill="E8EDF5"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19"/>
                <w:szCs w:val="19"/>
              </w:rPr>
              <w:t xml:space="preserve">Borrowed — currently helping, will not persist</w:t>
            </w:r>
          </w:p>
        </w:tc>
      </w:tr>
      <w:tr>
        <w:trPr>
          <w:tblHeader w:val="false"/>
        </w:trPr>
        <w:tc>
          <w:tcPr>
            <w:tcW w:type="dxa" w:w="468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Asset-light structure: capex 0.27% of revenue, no logistics network to defend</w:t>
            </w:r>
          </w:p>
        </w:tc>
        <w:tc>
          <w:tcPr>
            <w:tcW w:type="dxa" w:w="468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Interest and investment income at 21.4% of pre-tax profit, dependent on rates and on the cash pile continuing to compound</w:t>
            </w:r>
          </w:p>
        </w:tc>
      </w:tr>
      <w:tr>
        <w:trPr>
          <w:tblHeader w:val="false"/>
        </w:trPr>
        <w:tc>
          <w:tcPr>
            <w:tcW w:type="dxa" w:w="468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Zero debt and RMB422.3bn of cash and short-term investments</w:t>
            </w:r>
          </w:p>
        </w:tc>
        <w:tc>
          <w:tcPr>
            <w:tcW w:type="dxa" w:w="468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The residual price gap on cross-border goods, being legislated away through 2027 and 2028</w:t>
            </w:r>
          </w:p>
        </w:tc>
      </w:tr>
      <w:tr>
        <w:trPr>
          <w:tblHeader w:val="false"/>
        </w:trPr>
        <w:tc>
          <w:tcPr>
            <w:tcW w:type="dxa" w:w="468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RMB125.1bn of merchant float funding working capital at no cost</w:t>
            </w:r>
          </w:p>
        </w:tc>
        <w:tc>
          <w:tcPr>
            <w:tcW w:type="dxa" w:w="468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The absence of a subsidy war in the core marketplace, while rivals' capital is committed to instant commerce</w:t>
            </w:r>
          </w:p>
        </w:tc>
      </w:tr>
      <w:tr>
        <w:trPr>
          <w:tblHeader w:val="false"/>
        </w:trPr>
        <w:tc>
          <w:tcPr>
            <w:tcW w:type="dxa" w:w="468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China's manufacturing overcapacity and falling producer prices supplying cheap goods</w:t>
            </w:r>
          </w:p>
        </w:tc>
        <w:tc>
          <w:tcPr>
            <w:tcW w:type="dxa" w:w="468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Zero capital returns, which flatters the balance sheet while deferring the allocation question</w:t>
            </w:r>
          </w:p>
        </w:tc>
      </w:tr>
      <w:tr>
        <w:trPr>
          <w:tblHeader w:val="false"/>
        </w:trPr>
        <w:tc>
          <w:tcPr>
            <w:tcW w:type="dxa" w:w="468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16.8 million active merchants and the discovery-led demand funnel</w:t>
            </w:r>
          </w:p>
        </w:tc>
        <w:tc>
          <w:tcPr>
            <w:tcW w:type="dxa" w:w="468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An effective tax rate that has already begun normalising upward, from 15.3% to 18.2%</w:t>
            </w:r>
          </w:p>
        </w:tc>
      </w:tr>
    </w:tbl>
    <w:p>
      <w:pPr>
        <w:pStyle w:val="Heading2"/>
        <w:spacing w:after="180" w:before="180"/>
      </w:pPr>
      <w:r>
        <w:rPr>
          <w:rFonts w:ascii="Arial" w:cs="Arial" w:eastAsia="Arial" w:hAnsi="Arial"/>
          <w:b/>
          <w:bCs/>
          <w:color w:val="1F3864"/>
          <w:sz w:val="28"/>
          <w:szCs w:val="28"/>
        </w:rPr>
        <w:t xml:space="preserve">What to monitor, and where it is published</w:t>
      </w:r>
    </w:p>
    <w:tbl>
      <w:tblPr>
        <w:tblW w:type="dxa" w:w="9360"/>
        <w:tblBorders>
          <w:top w:val="single" w:color="AFBBD0" w:sz="4"/>
          <w:left w:val="single" w:color="AFBBD0" w:sz="4"/>
          <w:bottom w:val="single" w:color="AFBBD0" w:sz="4"/>
          <w:right w:val="single" w:color="AFBBD0" w:sz="4"/>
          <w:insideH w:val="single" w:color="CFD8E6" w:sz="2"/>
          <w:insideV w:val="single" w:color="CFD8E6" w:sz="2"/>
        </w:tblBorders>
      </w:tblPr>
      <w:tblGrid>
        <w:gridCol w:w="3400"/>
        <w:gridCol w:w="3200"/>
        <w:gridCol w:w="2760"/>
      </w:tblGrid>
      <w:tr>
        <w:trPr>
          <w:tblHeader/>
        </w:trPr>
        <w:tc>
          <w:tcPr>
            <w:tcW w:type="dxa" w:w="3400"/>
            <w:shd w:fill="E8EDF5"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19"/>
                <w:szCs w:val="19"/>
              </w:rPr>
              <w:t xml:space="preserve">Indicator</w:t>
            </w:r>
          </w:p>
        </w:tc>
        <w:tc>
          <w:tcPr>
            <w:tcW w:type="dxa" w:w="3200"/>
            <w:shd w:fill="E8EDF5"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19"/>
                <w:szCs w:val="19"/>
              </w:rPr>
              <w:t xml:space="preserve">Why it matters</w:t>
            </w:r>
          </w:p>
        </w:tc>
        <w:tc>
          <w:tcPr>
            <w:tcW w:type="dxa" w:w="2760"/>
            <w:shd w:fill="E8EDF5" w:color="auto" w:val="clear"/>
            <w:tcMar>
              <w:top w:type="dxa" w:w="80"/>
              <w:left w:type="dxa" w:w="120"/>
              <w:bottom w:type="dxa" w:w="80"/>
              <w:right w:type="dxa" w:w="120"/>
            </w:tcMar>
          </w:tcPr>
          <w:p>
            <w:pPr>
              <w:spacing w:after="0" w:line="252"/>
              <w:jc w:val="left"/>
            </w:pPr>
            <w:r>
              <w:rPr>
                <w:rFonts w:ascii="Arial" w:cs="Arial" w:eastAsia="Arial" w:hAnsi="Arial"/>
                <w:b/>
                <w:bCs/>
                <w:i w:val="false"/>
                <w:iCs w:val="false"/>
                <w:sz w:val="19"/>
                <w:szCs w:val="19"/>
              </w:rPr>
              <w:t xml:space="preserve">Where published</w:t>
            </w:r>
          </w:p>
        </w:tc>
      </w:tr>
      <w:tr>
        <w:trPr>
          <w:tblHeader w:val="false"/>
        </w:trPr>
        <w:tc>
          <w:tcPr>
            <w:tcW w:type="dxa" w:w="340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Online marketing services growth rate</w:t>
            </w:r>
          </w:p>
        </w:tc>
        <w:tc>
          <w:tcPr>
            <w:tcW w:type="dxa" w:w="320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The domestic monetisation engine; 2.5% and 3.4% in the 2026 quarters</w:t>
            </w:r>
          </w:p>
        </w:tc>
        <w:tc>
          <w:tcPr>
            <w:tcW w:type="dxa" w:w="27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PDD quarterly 6-K earnings release</w:t>
            </w:r>
          </w:p>
        </w:tc>
      </w:tr>
      <w:tr>
        <w:trPr>
          <w:tblHeader w:val="false"/>
        </w:trPr>
        <w:tc>
          <w:tcPr>
            <w:tcW w:type="dxa" w:w="340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Active merchants and revenue per merchant</w:t>
            </w:r>
          </w:p>
        </w:tc>
        <w:tc>
          <w:tcPr>
            <w:tcW w:type="dxa" w:w="320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The only disclosed unit economics; separates volume from monetisation</w:t>
            </w:r>
          </w:p>
        </w:tc>
        <w:tc>
          <w:tcPr>
            <w:tcW w:type="dxa" w:w="27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Annual 20-F only, not quarterly</w:t>
            </w:r>
          </w:p>
        </w:tc>
      </w:tr>
      <w:tr>
        <w:trPr>
          <w:tblHeader w:val="false"/>
        </w:trPr>
        <w:tc>
          <w:tcPr>
            <w:tcW w:type="dxa" w:w="340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Gross margin</w:t>
            </w:r>
          </w:p>
        </w:tc>
        <w:tc>
          <w:tcPr>
            <w:tcW w:type="dxa" w:w="320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Tracks the mix shift into lower-margin transaction services</w:t>
            </w:r>
          </w:p>
        </w:tc>
        <w:tc>
          <w:tcPr>
            <w:tcW w:type="dxa" w:w="27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PDD quarterly 6-K</w:t>
            </w:r>
          </w:p>
        </w:tc>
      </w:tr>
      <w:tr>
        <w:trPr>
          <w:tblHeader w:val="false"/>
        </w:trPr>
        <w:tc>
          <w:tcPr>
            <w:tcW w:type="dxa" w:w="340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VIE share of consolidated revenue</w:t>
            </w:r>
          </w:p>
        </w:tc>
        <w:tc>
          <w:tcPr>
            <w:tcW w:type="dxa" w:w="320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The only proxy for the domestic versus international split</w:t>
            </w:r>
          </w:p>
        </w:tc>
        <w:tc>
          <w:tcPr>
            <w:tcW w:type="dxa" w:w="27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Annual 20-F</w:t>
            </w:r>
          </w:p>
        </w:tc>
      </w:tr>
      <w:tr>
        <w:trPr>
          <w:tblHeader w:val="false"/>
        </w:trPr>
        <w:tc>
          <w:tcPr>
            <w:tcW w:type="dxa" w:w="340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EU and US low-value parcel rules</w:t>
            </w:r>
          </w:p>
        </w:tc>
        <w:tc>
          <w:tcPr>
            <w:tcW w:type="dxa" w:w="320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Determines whether the duty burden rises again in 2027 and 2028</w:t>
            </w:r>
          </w:p>
        </w:tc>
        <w:tc>
          <w:tcPr>
            <w:tcW w:type="dxa" w:w="2760"/>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Federal Register; EU Official Journal</w:t>
            </w:r>
          </w:p>
        </w:tc>
      </w:tr>
      <w:tr>
        <w:trPr>
          <w:tblHeader w:val="false"/>
        </w:trPr>
        <w:tc>
          <w:tcPr>
            <w:tcW w:type="dxa" w:w="340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SAMR enforcement actions</w:t>
            </w:r>
          </w:p>
        </w:tc>
        <w:tc>
          <w:tcPr>
            <w:tcW w:type="dxa" w:w="320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Chinese platform penalties and operating restrictions</w:t>
            </w:r>
          </w:p>
        </w:tc>
        <w:tc>
          <w:tcPr>
            <w:tcW w:type="dxa" w:w="2760"/>
            <w:shd w:fill="F5F7FA" w:color="auto" w:val="clear"/>
            <w:tcMar>
              <w:top w:type="dxa" w:w="80"/>
              <w:left w:type="dxa" w:w="120"/>
              <w:bottom w:type="dxa" w:w="80"/>
              <w:right w:type="dxa" w:w="120"/>
            </w:tcMar>
          </w:tcPr>
          <w:p>
            <w:pPr>
              <w:spacing w:after="0" w:line="252"/>
              <w:jc w:val="left"/>
            </w:pPr>
            <w:r>
              <w:rPr>
                <w:rFonts w:ascii="Arial" w:cs="Arial" w:eastAsia="Arial" w:hAnsi="Arial"/>
                <w:b w:val="false"/>
                <w:bCs w:val="false"/>
                <w:i w:val="false"/>
                <w:iCs w:val="false"/>
                <w:sz w:val="19"/>
                <w:szCs w:val="19"/>
              </w:rPr>
              <w:t xml:space="preserve">SAMR announcements; Xinhua</w:t>
            </w:r>
          </w:p>
        </w:tc>
      </w:tr>
    </w:tbl>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60" w:line="276"/>
      </w:pPr>
      <w:r>
        <w:rPr>
          <w:rFonts w:ascii="Arial" w:cs="Arial" w:eastAsia="Arial" w:hAnsi="Arial"/>
          <w:sz w:val="22"/>
          <w:szCs w:val="22"/>
        </w:rPr>
        <w:t xml:space="preserve">The risks below exclude cyclicality and the cross-border duty regime, which Section 6 covers. What follows is what those do not capture, weighted toward risks that compound.</w:t>
      </w:r>
    </w:p>
    <w:p>
      <w:pPr>
        <w:pStyle w:val="ListParagraph"/>
        <w:numPr>
          <w:ilvl w:val="0"/>
          <w:numId w:val="2"/>
        </w:numPr>
        <w:spacing w:after="120" w:line="276"/>
      </w:pPr>
      <w:r>
        <w:rPr>
          <w:rFonts w:ascii="Arial" w:cs="Arial" w:eastAsia="Arial" w:hAnsi="Arial"/>
          <w:b/>
          <w:bCs/>
          <w:sz w:val="22"/>
          <w:szCs w:val="22"/>
        </w:rPr>
        <w:t xml:space="preserve">Disclosure opacity compounds every other risk. </w:t>
      </w:r>
      <w:r>
        <w:rPr>
          <w:rFonts w:ascii="Arial" w:cs="Arial" w:eastAsia="Arial" w:hAnsi="Arial"/>
          <w:sz w:val="22"/>
          <w:szCs w:val="22"/>
        </w:rPr>
        <w:t xml:space="preserve">PDD discloses no GMV, no user numbers, no geographic split, no platform split and no forward guidance. An investor cannot determine whether Pinduoduo's domestic business is growing or shrinking, what Temu earns or loses, or whether the monetisation rate is rising or being competed down. The consequence is not merely uncertainty: it means no adverse development in either business can be detected from the filings until it reaches the consolidated line, by which point it is already large. Every other risk here is harder to monitor because of it.</w:t>
      </w:r>
    </w:p>
    <w:p>
      <w:pPr>
        <w:pStyle w:val="ListParagraph"/>
        <w:numPr>
          <w:ilvl w:val="0"/>
          <w:numId w:val="2"/>
        </w:numPr>
        <w:spacing w:after="120" w:line="276"/>
      </w:pPr>
      <w:r>
        <w:rPr>
          <w:rFonts w:ascii="Arial" w:cs="Arial" w:eastAsia="Arial" w:hAnsi="Arial"/>
          <w:b/>
          <w:bCs/>
          <w:sz w:val="22"/>
          <w:szCs w:val="22"/>
        </w:rPr>
        <w:t xml:space="preserve">Chinese enforcement is escalating and PDD drew the largest share. </w:t>
      </w:r>
      <w:r>
        <w:rPr>
          <w:rFonts w:ascii="Arial" w:cs="Arial" w:eastAsia="Arial" w:hAnsi="Arial"/>
          <w:sz w:val="22"/>
          <w:szCs w:val="22"/>
        </w:rPr>
        <w:t xml:space="preserve">On 17 April 2026 SAMR fined seven platform operators a total of approximately RMB3.597bn in the "ghost takeaway" cases. Pinduoduo's operator, Shanghai Xunmeng, was fined RMB1.52bn — 42% of the total — for onboarding thousands of food merchants without valid permits and for authorising undisclosed order transfers, and received a nine-month suspension on onboarding new cake vendors. The regulator also found obstruction of the investigation, including submission of false materials. The mechanism that matters is not the fine, which is 1.6% of FY2025 net income, but the precedent: a merchant-vetting standard applied across 16.8 million merchants converts PDD's core scale advantage into a proportionate compliance liability, and an obstruction finding raises the penalty multiple in any future action.</w:t>
      </w:r>
    </w:p>
    <w:p>
      <w:pPr>
        <w:pStyle w:val="ListParagraph"/>
        <w:numPr>
          <w:ilvl w:val="0"/>
          <w:numId w:val="2"/>
        </w:numPr>
        <w:spacing w:after="120" w:line="276"/>
      </w:pPr>
      <w:r>
        <w:rPr>
          <w:rFonts w:ascii="Arial" w:cs="Arial" w:eastAsia="Arial" w:hAnsi="Arial"/>
          <w:b/>
          <w:bCs/>
          <w:sz w:val="22"/>
          <w:szCs w:val="22"/>
        </w:rPr>
        <w:t xml:space="preserve">Localising Temu compresses the take without restoring the price gap. </w:t>
      </w:r>
      <w:r>
        <w:rPr>
          <w:rFonts w:ascii="Arial" w:cs="Arial" w:eastAsia="Arial" w:hAnsi="Arial"/>
          <w:sz w:val="22"/>
          <w:szCs w:val="22"/>
        </w:rPr>
        <w:t xml:space="preserve">Under the fully-managed model Temu sets the retail price and captures the full spread. Under local fulfilment the merchant holds inventory and sets price, and Temu earns a commission. The revenue per order falls, and because the local merchant's cost base already carries duty, the price advantage does not come back — only the location of the cost in the P&amp;L changes. The AliExpress precedent in Section 3 — profitability arriving alongside revenue going negative — is the closest available read on where that path leads.</w:t>
      </w:r>
    </w:p>
    <w:p>
      <w:pPr>
        <w:pStyle w:val="ListParagraph"/>
        <w:numPr>
          <w:ilvl w:val="0"/>
          <w:numId w:val="2"/>
        </w:numPr>
        <w:spacing w:after="120" w:line="276"/>
      </w:pPr>
      <w:r>
        <w:rPr>
          <w:rFonts w:ascii="Arial" w:cs="Arial" w:eastAsia="Arial" w:hAnsi="Arial"/>
          <w:b/>
          <w:bCs/>
          <w:sz w:val="22"/>
          <w:szCs w:val="22"/>
        </w:rPr>
        <w:t xml:space="preserve">Regulatory actions are stacking across jurisdictions simultaneously. </w:t>
      </w:r>
      <w:r>
        <w:rPr>
          <w:rFonts w:ascii="Arial" w:cs="Arial" w:eastAsia="Arial" w:hAnsi="Arial"/>
          <w:sz w:val="22"/>
          <w:szCs w:val="22"/>
        </w:rPr>
        <w:t xml:space="preserve">The European Commission fined Temu EUR200m on 28 May 2026 under the Digital Services Act after finding its systemic risk assessment inadequate, with periodic penalty payments available if the remedy is judged insufficient. Vietnam and Uzbekistan have suspended Temu. Five US state attorneys general have brought consumer-protection suits and a consolidated securities class action is pending in the Eastern District of New York. Each is survivable alone; together they impose a compliance cost that scales with the long-tail merchant base, which is the exact asset the model was built on.</w:t>
      </w:r>
    </w:p>
    <w:p>
      <w:pPr>
        <w:pStyle w:val="ListParagraph"/>
        <w:numPr>
          <w:ilvl w:val="0"/>
          <w:numId w:val="2"/>
        </w:numPr>
        <w:spacing w:after="120" w:line="276"/>
      </w:pPr>
      <w:r>
        <w:rPr>
          <w:rFonts w:ascii="Arial" w:cs="Arial" w:eastAsia="Arial" w:hAnsi="Arial"/>
          <w:b/>
          <w:bCs/>
          <w:sz w:val="22"/>
          <w:szCs w:val="22"/>
        </w:rPr>
        <w:t xml:space="preserve">The holding company owns contracts, not the Chinese business. </w:t>
      </w:r>
      <w:r>
        <w:rPr>
          <w:rFonts w:ascii="Arial" w:cs="Arial" w:eastAsia="Arial" w:hAnsi="Arial"/>
          <w:sz w:val="22"/>
          <w:szCs w:val="22"/>
        </w:rPr>
        <w:t xml:space="preserve">PDD is a Cayman company whose Chinese licensed operations are consolidated through variable-interest entity agreements rather than equity. RMB125,917.4m of net assets in the Chinese subsidiaries and VIE were restricted from distribution at 31 December 2025. The auditor for FY2025 changed from Ernst &amp; Young Hua Ming in Shanghai, which had served since 2018, to Ernst &amp; Young Hong Kong — a change the filing does not explain (unknown), and one worth resolving given the HFCAA inspection history.</w:t>
      </w:r>
    </w:p>
    <w:p>
      <w:pPr>
        <w:pStyle w:val="Heading2"/>
        <w:spacing w:after="180" w:before="180"/>
      </w:pPr>
      <w:r>
        <w:rPr>
          <w:rFonts w:ascii="Arial" w:cs="Arial" w:eastAsia="Arial" w:hAnsi="Arial"/>
          <w:b/>
          <w:bCs/>
          <w:color w:val="1F3864"/>
          <w:sz w:val="28"/>
          <w:szCs w:val="28"/>
        </w:rPr>
        <w:t xml:space="preserve">What the sources could not answer</w:t>
      </w:r>
    </w:p>
    <w:p>
      <w:pPr>
        <w:spacing w:after="160" w:line="276"/>
      </w:pPr>
      <w:r>
        <w:rPr>
          <w:rFonts w:ascii="Arial" w:cs="Arial" w:eastAsia="Arial" w:hAnsi="Arial"/>
          <w:sz w:val="22"/>
          <w:szCs w:val="22"/>
        </w:rPr>
        <w:t xml:space="preserve">These are gaps in the evidence, not conclusions. Each would need resolving before an investment case could be formed.</w:t>
      </w:r>
    </w:p>
    <w:p>
      <w:pPr>
        <w:pStyle w:val="ListParagraph"/>
        <w:numPr>
          <w:ilvl w:val="0"/>
          <w:numId w:val="2"/>
        </w:numPr>
        <w:spacing w:after="120" w:line="276"/>
      </w:pPr>
      <w:r>
        <w:rPr>
          <w:rFonts w:ascii="Arial" w:cs="Arial" w:eastAsia="Arial" w:hAnsi="Arial"/>
          <w:sz w:val="22"/>
          <w:szCs w:val="22"/>
        </w:rPr>
        <w:t xml:space="preserve">Temu's revenue, gross merchandise value, operating margin and cash consumption. Nothing is disclosed. Every figure in circulation is a third-party estimate.</w:t>
      </w:r>
    </w:p>
    <w:p>
      <w:pPr>
        <w:pStyle w:val="ListParagraph"/>
        <w:numPr>
          <w:ilvl w:val="0"/>
          <w:numId w:val="2"/>
        </w:numPr>
        <w:spacing w:after="120" w:line="276"/>
      </w:pPr>
      <w:r>
        <w:rPr>
          <w:rFonts w:ascii="Arial" w:cs="Arial" w:eastAsia="Arial" w:hAnsi="Arial"/>
          <w:sz w:val="22"/>
          <w:szCs w:val="22"/>
        </w:rPr>
        <w:t xml:space="preserve">The split of group revenue between China and international, and between Pinduoduo and Temu. The VIE revenue share is a proxy of unknown reliability.</w:t>
      </w:r>
    </w:p>
    <w:p>
      <w:pPr>
        <w:pStyle w:val="ListParagraph"/>
        <w:numPr>
          <w:ilvl w:val="0"/>
          <w:numId w:val="2"/>
        </w:numPr>
        <w:spacing w:after="120" w:line="276"/>
      </w:pPr>
      <w:r>
        <w:rPr>
          <w:rFonts w:ascii="Arial" w:cs="Arial" w:eastAsia="Arial" w:hAnsi="Arial"/>
          <w:sz w:val="22"/>
          <w:szCs w:val="22"/>
        </w:rPr>
        <w:t xml:space="preserve">PDD's take rate, and whether it is rising or falling. Not computable for PDD or for any of its listed Chinese competitors.</w:t>
      </w:r>
    </w:p>
    <w:p>
      <w:pPr>
        <w:pStyle w:val="ListParagraph"/>
        <w:numPr>
          <w:ilvl w:val="0"/>
          <w:numId w:val="2"/>
        </w:numPr>
        <w:spacing w:after="120" w:line="276"/>
      </w:pPr>
      <w:r>
        <w:rPr>
          <w:rFonts w:ascii="Arial" w:cs="Arial" w:eastAsia="Arial" w:hAnsi="Arial"/>
          <w:sz w:val="22"/>
          <w:szCs w:val="22"/>
        </w:rPr>
        <w:t xml:space="preserve">The share of Temu volume now fulfilled locally rather than shipped from China, by market.</w:t>
      </w:r>
    </w:p>
    <w:p>
      <w:pPr>
        <w:pStyle w:val="ListParagraph"/>
        <w:numPr>
          <w:ilvl w:val="0"/>
          <w:numId w:val="2"/>
        </w:numPr>
        <w:spacing w:after="120" w:line="276"/>
      </w:pPr>
      <w:r>
        <w:rPr>
          <w:rFonts w:ascii="Arial" w:cs="Arial" w:eastAsia="Arial" w:hAnsi="Arial"/>
          <w:sz w:val="22"/>
          <w:szCs w:val="22"/>
        </w:rPr>
        <w:t xml:space="preserve">Whether the merchant support and ecosystem investment management repeatedly cites is quantified anywhere. No amount appears in the 20-F or in any earnings release; figures attributed to the earnings calls are press-reported only.</w:t>
      </w:r>
    </w:p>
    <w:p>
      <w:pPr>
        <w:pStyle w:val="ListParagraph"/>
        <w:numPr>
          <w:ilvl w:val="0"/>
          <w:numId w:val="2"/>
        </w:numPr>
        <w:spacing w:after="120" w:line="276"/>
      </w:pPr>
      <w:r>
        <w:rPr>
          <w:rFonts w:ascii="Arial" w:cs="Arial" w:eastAsia="Arial" w:hAnsi="Arial"/>
          <w:sz w:val="22"/>
          <w:szCs w:val="22"/>
        </w:rPr>
        <w:t xml:space="preserve">The maintenance versus growth split of capital expenditure, and what management intends to do with RMB422bn of cash.</w:t>
      </w:r>
    </w:p>
    <w:p>
      <w:pPr>
        <w:pStyle w:val="ListParagraph"/>
        <w:numPr>
          <w:ilvl w:val="0"/>
          <w:numId w:val="2"/>
        </w:numPr>
        <w:spacing w:after="120" w:line="276"/>
      </w:pPr>
      <w:r>
        <w:rPr>
          <w:rFonts w:ascii="Arial" w:cs="Arial" w:eastAsia="Arial" w:hAnsi="Arial"/>
          <w:sz w:val="22"/>
          <w:szCs w:val="22"/>
        </w:rPr>
        <w:t xml:space="preserve">Why net income fell while operating profit rose in both 2026 quarters, beyond the tax and foreign exchange effects visible in the annual accounts.</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2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toll on Chinese manufacturing overcapacity. PDD sells 16.8 million small producers access to consumer demand, owns none of the goods and none of the infrastructure, and keeps roughly a fifth of the revenue it books as operating profit.</w:t>
      </w:r>
    </w:p>
    <w:p>
      <w:pPr>
        <w:pStyle w:val="ListParagraph"/>
        <w:numPr>
          <w:ilvl w:val="0"/>
          <w:numId w:val="2"/>
        </w:numPr>
        <w:spacing w:after="120" w:line="276"/>
      </w:pPr>
      <w:r>
        <w:rPr>
          <w:rFonts w:ascii="Arial" w:cs="Arial" w:eastAsia="Arial" w:hAnsi="Arial"/>
          <w:b/>
          <w:bCs/>
          <w:sz w:val="22"/>
          <w:szCs w:val="22"/>
        </w:rPr>
        <w:t xml:space="preserve">The core economic engine. </w:t>
      </w:r>
      <w:r>
        <w:rPr>
          <w:rFonts w:ascii="Arial" w:cs="Arial" w:eastAsia="Arial" w:hAnsi="Arial"/>
          <w:sz w:val="22"/>
          <w:szCs w:val="22"/>
        </w:rPr>
        <w:t xml:space="preserve">An absence of fixed costs. Capex is 0.27% of revenue, debt is zero, and RMB125bn of merchant float funds the working capital — which is why PDD earned a 21.6% operating margin in the year its asset-heavy rivals earned close to nothing.</w:t>
      </w:r>
    </w:p>
    <w:p>
      <w:pPr>
        <w:pStyle w:val="ListParagraph"/>
        <w:numPr>
          <w:ilvl w:val="0"/>
          <w:numId w:val="2"/>
        </w:numPr>
        <w:spacing w:after="120" w:line="276"/>
      </w:pPr>
      <w:r>
        <w:rPr>
          <w:rFonts w:ascii="Arial" w:cs="Arial" w:eastAsia="Arial" w:hAnsi="Arial"/>
          <w:b/>
          <w:bCs/>
          <w:sz w:val="22"/>
          <w:szCs w:val="22"/>
        </w:rPr>
        <w:t xml:space="preserve">The main growth lever. </w:t>
      </w:r>
      <w:r>
        <w:rPr>
          <w:rFonts w:ascii="Arial" w:cs="Arial" w:eastAsia="Arial" w:hAnsi="Arial"/>
          <w:sz w:val="22"/>
          <w:szCs w:val="22"/>
        </w:rPr>
        <w:t xml:space="preserve">Merchant count, contributing two-thirds of FY2025 growth, with the transaction-services fee stream carrying the rest. Advertising monetisation of the Chinese base has stalled at 2.5% to 3.4% growth.</w:t>
      </w:r>
    </w:p>
    <w:p>
      <w:pPr>
        <w:pStyle w:val="ListParagraph"/>
        <w:numPr>
          <w:ilvl w:val="0"/>
          <w:numId w:val="2"/>
        </w:numPr>
        <w:spacing w:after="12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That the cost advantage is not a moat. Douyin built a third of Chinese online retail from nothing in under six years, merchant multi-homing is now legally protected, and the cross-border duty arbitrage is being legislated away through 2027 and 2028.</w:t>
      </w:r>
    </w:p>
    <w:p>
      <w:pPr>
        <w:pStyle w:val="ListParagraph"/>
        <w:numPr>
          <w:ilvl w:val="0"/>
          <w:numId w:val="2"/>
        </w:numPr>
        <w:spacing w:after="120" w:line="276"/>
      </w:pPr>
      <w:r>
        <w:rPr>
          <w:rFonts w:ascii="Arial" w:cs="Arial" w:eastAsia="Arial" w:hAnsi="Arial"/>
          <w:b/>
          <w:bCs/>
          <w:sz w:val="22"/>
          <w:szCs w:val="22"/>
        </w:rPr>
        <w:t xml:space="preserve">What to monitor. </w:t>
      </w:r>
      <w:r>
        <w:rPr>
          <w:rFonts w:ascii="Arial" w:cs="Arial" w:eastAsia="Arial" w:hAnsi="Arial"/>
          <w:sz w:val="22"/>
          <w:szCs w:val="22"/>
        </w:rPr>
        <w:t xml:space="preserve">The online marketing revenue line and gross margin quarterly; active merchants and the VIE revenue share annually; and the share of pre-tax profit coming from interest rather than from operations, now 21.4%.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2026-09-07T15:59:16.570Z</dcterms:created>
  <dcterms:modified xsi:type="dcterms:W3CDTF">2026-09-07T15:59:16.570Z</dcterms:modified>
</cp:coreProperties>
</file>

<file path=docProps/custom.xml><?xml version="1.0" encoding="utf-8"?>
<Properties xmlns="http://schemas.openxmlformats.org/officeDocument/2006/custom-properties" xmlns:vt="http://schemas.openxmlformats.org/officeDocument/2006/docPropsVTypes"/>
</file>