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rFonts w:ascii="Arial" w:cs="Arial" w:eastAsia="Arial" w:hAnsi="Arial"/>
          <w:b/>
          <w:bCs/>
          <w:color w:val="1F3864"/>
          <w:sz w:val="52"/>
          <w:szCs w:val="52"/>
        </w:rPr>
        <w:t xml:space="preserve">Business Overview</w:t>
      </w:r>
    </w:p>
    <w:p>
      <w:pPr>
        <w:spacing w:after="320" w:before="60"/>
      </w:pPr>
      <w:r>
        <w:rPr>
          <w:rFonts w:ascii="Arial" w:cs="Arial" w:eastAsia="Arial" w:hAnsi="Arial"/>
          <w:b/>
          <w:bCs/>
          <w:color w:val="2B2B2B"/>
          <w:sz w:val="40"/>
          <w:szCs w:val="40"/>
        </w:rPr>
        <w:t xml:space="preserve">Roblox Corporation (NYSE: RBLX)</w:t>
      </w:r>
    </w:p>
    <w:p>
      <w:pPr>
        <w:pBdr>
          <w:bottom w:val="single" w:color="1F3864" w:sz="8" w:space="6"/>
        </w:pBdr>
        <w:spacing w:after="260"/>
      </w:pPr>
      <w:r>
        <w:rPr>
          <w:sz w:val="8"/>
          <w:szCs w:val="8"/>
        </w:rPr>
        <w:t xml:space="preserve"/>
      </w:r>
    </w:p>
    <w:p>
      <w:pPr>
        <w:spacing w:after="140" w:line="280"/>
        <w:jc w:val="left"/>
      </w:pPr>
      <w:r>
        <w:rPr>
          <w:rFonts w:ascii="Arial" w:cs="Arial" w:eastAsia="Arial" w:hAnsi="Arial"/>
          <w:b/>
          <w:bCs/>
          <w:sz w:val="24"/>
          <w:szCs w:val="24"/>
        </w:rPr>
        <w:t xml:space="preserve">7 September 2026</w:t>
      </w:r>
    </w:p>
    <w:p>
      <w:pPr>
        <w:spacing w:after="200" w:line="280"/>
        <w:jc w:val="left"/>
      </w:pPr>
      <w:r>
        <w:rPr>
          <w:rFonts w:ascii="Arial" w:cs="Arial" w:eastAsia="Arial" w:hAnsi="Arial"/>
          <w:sz w:val="20"/>
          <w:szCs w:val="20"/>
        </w:rPr>
        <w:t xml:space="preserve">Evidence base: Roblox SEC filings held in the research folder — annual reports on Form 10-K for FY2021 through FY2025 (the latest filed 11 February 2026), quarterly reports through the quarter ended 30 June 2026 (filed 30 July 2026), the November 2020 Form S-1, proxy statements for 2022 and 2026, shareholder letters and current reports. Industry structure, competitor economics and the regulatory record are drawn from independent primary sources: court orders and dockets, state Attorney General releases, Ofcom, the European Commission, the FTC, the Australian eSafety Commissioner, and competitors’ own reported financials.</w:t>
      </w:r>
    </w:p>
    <w:p>
      <w:pPr>
        <w:spacing w:after="200" w:line="280"/>
        <w:jc w:val="left"/>
      </w:pPr>
      <w:r>
        <w:rPr>
          <w:rFonts w:ascii="Arial" w:cs="Arial" w:eastAsia="Arial" w:hAnsi="Arial"/>
          <w:i/>
          <w:iCs/>
          <w:sz w:val="20"/>
          <w:szCs w:val="20"/>
        </w:rPr>
        <w:t xml:space="preserve">This document explains how the business works and what drives its economics. It is not a valuation and not a recommendation.</w:t>
      </w:r>
    </w:p>
    <w:p>
      <w:pPr>
        <w:spacing w:after="140" w:line="280"/>
        <w:jc w:val="left"/>
      </w:pPr>
      <w:r>
        <w:rPr>
          <w:rFonts w:ascii="Arial" w:cs="Arial" w:eastAsia="Arial" w:hAnsi="Arial"/>
          <w:color w:val="6E675C"/>
          <w:sz w:val="18"/>
          <w:szCs w:val="18"/>
        </w:rPr>
        <w:t xml:space="preserve">Prepared for Kun Xia. All figures carry the source they came from. Items the sources could not settle are marked (unknown) or NOT FOUND; conclusions reasoned from sourced facts are marked (inferred).</w:t>
      </w:r>
    </w:p>
    <w:p>
      <w:pPr>
        <w:spacing w:after="200" w:before="360"/>
      </w:pPr>
      <w:r>
        <w:br w:type="page"/>
      </w:r>
      <w:r>
        <w:rPr>
          <w:rFonts w:ascii="Arial" w:cs="Arial" w:eastAsia="Arial" w:hAnsi="Arial"/>
          <w:b/>
          <w:bCs/>
          <w:color w:val="1F3864"/>
          <w:sz w:val="32"/>
          <w:szCs w:val="32"/>
        </w:rPr>
        <w:t xml:space="preserve">1. Executive Snapshot</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600"/>
        <w:gridCol w:w="6760"/>
      </w:tblGrid>
      <w:tr>
        <w:tc>
          <w:tcPr>
            <w:tcW w:type="dxa" w:w="2600"/>
            <w:shd w:fill="EDF0F7"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Item</w:t>
            </w:r>
          </w:p>
        </w:tc>
        <w:tc>
          <w:tcPr>
            <w:tcW w:type="dxa" w:w="6760"/>
            <w:shd w:fill="EDF0F7"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Summary</w:t>
            </w:r>
          </w:p>
        </w:tc>
      </w:tr>
      <w:tr>
        <w:tc>
          <w:tcPr>
            <w:tcW w:type="dxa" w:w="2600"/>
            <w:tcMar>
              <w:top w:type="dxa" w:w="80"/>
              <w:left w:type="dxa" w:w="120"/>
              <w:bottom w:type="dxa" w:w="80"/>
              <w:right w:type="dxa" w:w="120"/>
            </w:tcMar>
          </w:tcPr>
          <w:p>
            <w:pPr>
              <w:spacing w:after="0" w:line="260"/>
              <w:jc w:val="left"/>
            </w:pPr>
            <w:r>
              <w:rPr>
                <w:rFonts w:ascii="Arial" w:cs="Arial" w:eastAsia="Arial" w:hAnsi="Arial"/>
                <w:b/>
                <w:bCs/>
                <w:sz w:val="20"/>
                <w:szCs w:val="20"/>
              </w:rPr>
              <w:t xml:space="preserve">What the business is</w:t>
            </w:r>
          </w:p>
        </w:tc>
        <w:tc>
          <w:tcPr>
            <w:tcW w:type="dxa" w:w="6760"/>
            <w:tcMar>
              <w:top w:type="dxa" w:w="80"/>
              <w:left w:type="dxa" w:w="120"/>
              <w:bottom w:type="dxa" w:w="80"/>
              <w:right w:type="dxa" w:w="120"/>
            </w:tcMar>
          </w:tcPr>
          <w:p>
            <w:pPr>
              <w:spacing w:after="0" w:line="260"/>
              <w:jc w:val="left"/>
            </w:pPr>
            <w:r>
              <w:rPr>
                <w:rFonts w:ascii="Arial" w:cs="Arial" w:eastAsia="Arial" w:hAnsi="Arial"/>
                <w:sz w:val="20"/>
                <w:szCs w:val="20"/>
              </w:rPr>
              <w:t xml:space="preserve">A hosted platform on which unpaid outside creators build the entire content library, and a proprietary virtual currency — Robux — that is the only way value moves through it. Roblox owns neither the content nor the distribution; it owns the marketplace between them.</w:t>
            </w:r>
          </w:p>
        </w:tc>
      </w:tr>
      <w:tr>
        <w:tc>
          <w:tcPr>
            <w:tcW w:type="dxa" w:w="2600"/>
            <w:shd w:fill="F7F7F7"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Industry</w:t>
            </w:r>
          </w:p>
        </w:tc>
        <w:tc>
          <w:tcPr>
            <w:tcW w:type="dxa" w:w="6760"/>
            <w:shd w:fill="F7F7F7" w:color="auto" w:val="clear"/>
            <w:tcMar>
              <w:top w:type="dxa" w:w="80"/>
              <w:left w:type="dxa" w:w="120"/>
              <w:bottom w:type="dxa" w:w="80"/>
              <w:right w:type="dxa" w:w="120"/>
            </w:tcMar>
          </w:tcPr>
          <w:p>
            <w:pPr>
              <w:spacing w:after="0" w:line="260"/>
              <w:jc w:val="left"/>
            </w:pPr>
            <w:r>
              <w:rPr>
                <w:rFonts w:ascii="Arial" w:cs="Arial" w:eastAsia="Arial" w:hAnsi="Arial"/>
                <w:sz w:val="20"/>
                <w:szCs w:val="20"/>
              </w:rPr>
              <w:t xml:space="preserve">User-generated-content gaming platforms, inside a global games market of $213.9bn for 2026 (Newzoo, Aug 2026). Roblox bookings were ~3.4% of that market in FY2025 (inferred).</w:t>
            </w:r>
          </w:p>
        </w:tc>
      </w:tr>
      <w:tr>
        <w:tc>
          <w:tcPr>
            <w:tcW w:type="dxa" w:w="2600"/>
            <w:tcMar>
              <w:top w:type="dxa" w:w="80"/>
              <w:left w:type="dxa" w:w="120"/>
              <w:bottom w:type="dxa" w:w="80"/>
              <w:right w:type="dxa" w:w="120"/>
            </w:tcMar>
          </w:tcPr>
          <w:p>
            <w:pPr>
              <w:spacing w:after="0" w:line="260"/>
              <w:jc w:val="left"/>
            </w:pPr>
            <w:r>
              <w:rPr>
                <w:rFonts w:ascii="Arial" w:cs="Arial" w:eastAsia="Arial" w:hAnsi="Arial"/>
                <w:b/>
                <w:bCs/>
                <w:sz w:val="20"/>
                <w:szCs w:val="20"/>
              </w:rPr>
              <w:t xml:space="preserve">How it makes money</w:t>
            </w:r>
          </w:p>
        </w:tc>
        <w:tc>
          <w:tcPr>
            <w:tcW w:type="dxa" w:w="6760"/>
            <w:tcMar>
              <w:top w:type="dxa" w:w="80"/>
              <w:left w:type="dxa" w:w="120"/>
              <w:bottom w:type="dxa" w:w="80"/>
              <w:right w:type="dxa" w:w="120"/>
            </w:tcMar>
          </w:tcPr>
          <w:p>
            <w:pPr>
              <w:spacing w:after="0" w:line="260"/>
              <w:jc w:val="left"/>
            </w:pPr>
            <w:r>
              <w:rPr>
                <w:rFonts w:ascii="Arial" w:cs="Arial" w:eastAsia="Arial" w:hAnsi="Arial"/>
                <w:sz w:val="20"/>
                <w:szCs w:val="20"/>
              </w:rPr>
              <w:t xml:space="preserve">Users buy Robux for roughly one cent each and spend them inside creator-built experiences. Roblox keeps the residual after paying the app stores that carried the transaction and the creators who built what the Robux bought.</w:t>
            </w:r>
          </w:p>
        </w:tc>
      </w:tr>
      <w:tr>
        <w:tc>
          <w:tcPr>
            <w:tcW w:type="dxa" w:w="2600"/>
            <w:shd w:fill="F7F7F7"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Unit of economics</w:t>
            </w:r>
          </w:p>
        </w:tc>
        <w:tc>
          <w:tcPr>
            <w:tcW w:type="dxa" w:w="6760"/>
            <w:shd w:fill="F7F7F7" w:color="auto" w:val="clear"/>
            <w:tcMar>
              <w:top w:type="dxa" w:w="80"/>
              <w:left w:type="dxa" w:w="120"/>
              <w:bottom w:type="dxa" w:w="80"/>
              <w:right w:type="dxa" w:w="120"/>
            </w:tcMar>
          </w:tcPr>
          <w:p>
            <w:pPr>
              <w:spacing w:after="0" w:line="260"/>
              <w:jc w:val="left"/>
            </w:pPr>
            <w:r>
              <w:rPr>
                <w:rFonts w:ascii="Arial" w:cs="Arial" w:eastAsia="Arial" w:hAnsi="Arial"/>
                <w:sz w:val="20"/>
                <w:szCs w:val="20"/>
              </w:rPr>
              <w:t xml:space="preserve">One Robux spent. Of every dollar of bookings in FY2025, payment and distribution costs took 15.8 cents and developer exchange fees took 22.1 cents, leaving 62.1 cents before running the platform (FY2025 10-K, calculated).</w:t>
            </w:r>
          </w:p>
        </w:tc>
      </w:tr>
      <w:tr>
        <w:tc>
          <w:tcPr>
            <w:tcW w:type="dxa" w:w="2600"/>
            <w:tcMar>
              <w:top w:type="dxa" w:w="80"/>
              <w:left w:type="dxa" w:w="120"/>
              <w:bottom w:type="dxa" w:w="80"/>
              <w:right w:type="dxa" w:w="120"/>
            </w:tcMar>
          </w:tcPr>
          <w:p>
            <w:pPr>
              <w:spacing w:after="0" w:line="260"/>
              <w:jc w:val="left"/>
            </w:pPr>
            <w:r>
              <w:rPr>
                <w:rFonts w:ascii="Arial" w:cs="Arial" w:eastAsia="Arial" w:hAnsi="Arial"/>
                <w:b/>
                <w:bCs/>
                <w:sz w:val="20"/>
                <w:szCs w:val="20"/>
              </w:rPr>
              <w:t xml:space="preserve">What protects it</w:t>
            </w:r>
          </w:p>
        </w:tc>
        <w:tc>
          <w:tcPr>
            <w:tcW w:type="dxa" w:w="6760"/>
            <w:tcMar>
              <w:top w:type="dxa" w:w="80"/>
              <w:left w:type="dxa" w:w="120"/>
              <w:bottom w:type="dxa" w:w="80"/>
              <w:right w:type="dxa" w:w="120"/>
            </w:tcMar>
          </w:tcPr>
          <w:p>
            <w:pPr>
              <w:spacing w:after="0" w:line="260"/>
              <w:jc w:val="left"/>
            </w:pPr>
            <w:r>
              <w:rPr>
                <w:rFonts w:ascii="Arial" w:cs="Arial" w:eastAsia="Arial" w:hAnsi="Arial"/>
                <w:sz w:val="20"/>
                <w:szCs w:val="20"/>
              </w:rPr>
              <w:t xml:space="preserve">A creator base no cold-start rival has reproduced — over 23,500 creators were paid $1,503.1M in FY2025 (FY2025 10-K) — plus 14 million active experiences, a youth social graph, and a moderation apparatus that regulation is turning into a barrier.</w:t>
            </w:r>
          </w:p>
        </w:tc>
      </w:tr>
      <w:tr>
        <w:tc>
          <w:tcPr>
            <w:tcW w:type="dxa" w:w="2600"/>
            <w:shd w:fill="F7F7F7"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What drives earnings</w:t>
            </w:r>
          </w:p>
        </w:tc>
        <w:tc>
          <w:tcPr>
            <w:tcW w:type="dxa" w:w="6760"/>
            <w:shd w:fill="F7F7F7" w:color="auto" w:val="clear"/>
            <w:tcMar>
              <w:top w:type="dxa" w:w="80"/>
              <w:left w:type="dxa" w:w="120"/>
              <w:bottom w:type="dxa" w:w="80"/>
              <w:right w:type="dxa" w:w="120"/>
            </w:tcMar>
          </w:tcPr>
          <w:p>
            <w:pPr>
              <w:spacing w:after="0" w:line="260"/>
              <w:jc w:val="left"/>
            </w:pPr>
            <w:r>
              <w:rPr>
                <w:rFonts w:ascii="Arial" w:cs="Arial" w:eastAsia="Arial" w:hAnsi="Arial"/>
                <w:sz w:val="20"/>
                <w:szCs w:val="20"/>
              </w:rPr>
              <w:t xml:space="preserve">Daily active users; bookings per user, flat near $52 a year since FY2022; the share of bookings paid away to creators, rising every year; and the 27-month lag between cash collected and revenue reported.</w:t>
            </w:r>
          </w:p>
        </w:tc>
      </w:tr>
      <w:tr>
        <w:tc>
          <w:tcPr>
            <w:tcW w:type="dxa" w:w="2600"/>
            <w:tcMar>
              <w:top w:type="dxa" w:w="80"/>
              <w:left w:type="dxa" w:w="120"/>
              <w:bottom w:type="dxa" w:w="80"/>
              <w:right w:type="dxa" w:w="120"/>
            </w:tcMar>
          </w:tcPr>
          <w:p>
            <w:pPr>
              <w:spacing w:after="0" w:line="260"/>
              <w:jc w:val="left"/>
            </w:pPr>
            <w:r>
              <w:rPr>
                <w:rFonts w:ascii="Arial" w:cs="Arial" w:eastAsia="Arial" w:hAnsi="Arial"/>
                <w:b/>
                <w:bCs/>
                <w:sz w:val="20"/>
                <w:szCs w:val="20"/>
              </w:rPr>
              <w:t xml:space="preserve">What to watch</w:t>
            </w:r>
          </w:p>
        </w:tc>
        <w:tc>
          <w:tcPr>
            <w:tcW w:type="dxa" w:w="6760"/>
            <w:tcMar>
              <w:top w:type="dxa" w:w="80"/>
              <w:left w:type="dxa" w:w="120"/>
              <w:bottom w:type="dxa" w:w="80"/>
              <w:right w:type="dxa" w:w="120"/>
            </w:tcMar>
          </w:tcPr>
          <w:p>
            <w:pPr>
              <w:spacing w:after="0" w:line="260"/>
              <w:jc w:val="left"/>
            </w:pPr>
            <w:r>
              <w:rPr>
                <w:rFonts w:ascii="Arial" w:cs="Arial" w:eastAsia="Arial" w:hAnsi="Arial"/>
                <w:sz w:val="20"/>
                <w:szCs w:val="20"/>
              </w:rPr>
              <w:t xml:space="preserve">Quarterly bookings growth, age-check penetration (57% of DAUs at 30 June 2026), and developer exchange fees as a share of bookings.</w:t>
            </w:r>
          </w:p>
        </w:tc>
      </w:tr>
      <w:tr>
        <w:tc>
          <w:tcPr>
            <w:tcW w:type="dxa" w:w="2600"/>
            <w:shd w:fill="F7F7F7"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Cycle exposure</w:t>
            </w:r>
          </w:p>
        </w:tc>
        <w:tc>
          <w:tcPr>
            <w:tcW w:type="dxa" w:w="6760"/>
            <w:shd w:fill="F7F7F7" w:color="auto" w:val="clear"/>
            <w:tcMar>
              <w:top w:type="dxa" w:w="80"/>
              <w:left w:type="dxa" w:w="120"/>
              <w:bottom w:type="dxa" w:w="80"/>
              <w:right w:type="dxa" w:w="120"/>
            </w:tcMar>
          </w:tcPr>
          <w:p>
            <w:pPr>
              <w:spacing w:after="0" w:line="260"/>
              <w:jc w:val="left"/>
            </w:pPr>
            <w:r>
              <w:rPr>
                <w:rFonts w:ascii="Arial" w:cs="Arial" w:eastAsia="Arial" w:hAnsi="Arial"/>
                <w:sz w:val="20"/>
                <w:szCs w:val="20"/>
              </w:rPr>
              <w:t xml:space="preserve">Low to macroeconomic cycles; high to two cycles of its own — the virality of individual experiences, and the regulatory tightening of youth online safety.</w:t>
            </w:r>
          </w:p>
        </w:tc>
      </w:tr>
    </w:tbl>
    <w:p>
      <w:pPr>
        <w:spacing w:after="200" w:before="360"/>
      </w:pPr>
      <w:r>
        <w:br w:type="page"/>
      </w:r>
      <w:r>
        <w:rPr>
          <w:rFonts w:ascii="Arial" w:cs="Arial" w:eastAsia="Arial" w:hAnsi="Arial"/>
          <w:b/>
          <w:bCs/>
          <w:color w:val="1F3864"/>
          <w:sz w:val="32"/>
          <w:szCs w:val="32"/>
        </w:rPr>
        <w:t xml:space="preserve">2. What the Company Does</w:t>
      </w:r>
    </w:p>
    <w:p>
      <w:pPr>
        <w:spacing w:after="140" w:line="280"/>
        <w:jc w:val="left"/>
      </w:pPr>
      <w:r>
        <w:rPr>
          <w:rFonts w:ascii="Arial" w:cs="Arial" w:eastAsia="Arial" w:hAnsi="Arial"/>
          <w:sz w:val="22"/>
          <w:szCs w:val="22"/>
        </w:rPr>
        <w:t xml:space="preserve">The problem Roblox solves is not a gaming problem. It is a supply problem. Games are expensive to make, and a studio that spends four years on one title has one chance to hold a child’s attention. Roblox inverted that: it gives away the engine, the servers, the moderation, the payment rails and the audience, and lets anyone build. Over 14 million experiences were active on the platform at the end of FY2025, built by a creator community spread across more than 170 countries (FY2025 10-K). Roblox writes almost none of the content its users come for.</w:t>
      </w:r>
    </w:p>
    <w:p>
      <w:pPr>
        <w:spacing w:after="140" w:line="280"/>
        <w:jc w:val="left"/>
      </w:pPr>
      <w:r>
        <w:rPr>
          <w:rFonts w:ascii="Arial" w:cs="Arial" w:eastAsia="Arial" w:hAnsi="Arial"/>
          <w:sz w:val="22"/>
          <w:szCs w:val="22"/>
        </w:rPr>
        <w:t xml:space="preserve">What it sells instead is Robux. A user buys Robux with real money — through the Apple App Store, Google Play, a console store, the web, or a prepaid card — at an average selling price of about one cent per Robux (FY2025 10-K). Those Robux are then spent inside experiences on access passes, cosmetic items, upgrades and subscriptions. Every one of those transactions is a piece of the platform’s revenue, and the accounting for it is where the business becomes unusual.</w:t>
      </w:r>
    </w:p>
    <w:p>
      <w:pPr>
        <w:spacing w:after="180" w:before="180"/>
      </w:pPr>
      <w:r>
        <w:rPr>
          <w:rFonts w:ascii="Arial" w:cs="Arial" w:eastAsia="Arial" w:hAnsi="Arial"/>
          <w:b/>
          <w:bCs/>
          <w:color w:val="1F3864"/>
          <w:sz w:val="28"/>
          <w:szCs w:val="28"/>
        </w:rPr>
        <w:t xml:space="preserve">Tracing one dollar from wallet to cash</w:t>
      </w:r>
    </w:p>
    <w:p>
      <w:pPr>
        <w:spacing w:after="140" w:line="280"/>
        <w:jc w:val="left"/>
      </w:pPr>
      <w:r>
        <w:rPr>
          <w:rFonts w:ascii="Arial" w:cs="Arial" w:eastAsia="Arial" w:hAnsi="Arial"/>
          <w:sz w:val="22"/>
          <w:szCs w:val="22"/>
        </w:rPr>
        <w:t xml:space="preserve">A dollar spent by a user is recorded first as bookings, which is simply cash sold. It is not revenue. Roblox recognises that dollar as revenue ratably over the estimated average lifetime of a paying user — 27 months as of 31 December 2025 (FY2025 10-K). A dollar collected today therefore lands in the income statement in roughly one-cent slices across the following two and a quarter years. Deferred revenue on the balance sheet stood at $6,505.9M at the end of FY2025, larger than the year’s reported revenue (FY2025 10-K).</w:t>
      </w:r>
    </w:p>
    <w:p>
      <w:pPr>
        <w:spacing w:after="140" w:line="280"/>
        <w:jc w:val="left"/>
      </w:pPr>
      <w:r>
        <w:rPr>
          <w:rFonts w:ascii="Arial" w:cs="Arial" w:eastAsia="Arial" w:hAnsi="Arial"/>
          <w:sz w:val="22"/>
          <w:szCs w:val="22"/>
        </w:rPr>
        <w:t xml:space="preserve">Against that dollar of bookings, FY2025 costs ran as follows. Cost of revenue — which the filing defines as payment processing fees charged by third-party payment processors, plus sales tax and prepaid-card printing — took 15.8 cents. This is where the platform toll sits: Roblox is obligated to pay up to 30% of user money to Apple and Google, and around 30% to Microsoft and Sony on consoles (FY2025 10-K risk factors), and 29% of FY2025 revenue came through the Apple App Store with a further 15% through Google Play. Developer exchange fees — the cash actually paid out to creators — took 22.1 cents. Infrastructure and trust and safety took 17.0 cents, research and development 23.1 cents, and general, administrative, sales and marketing a further 12.1 cents (FY2025 10-K, calculated on bookings of $6,788.4M).</w:t>
      </w:r>
    </w:p>
    <w:p>
      <w:pPr>
        <w:spacing w:after="140" w:line="280"/>
        <w:jc w:val="left"/>
      </w:pPr>
      <w:r>
        <w:rPr>
          <w:rFonts w:ascii="Arial" w:cs="Arial" w:eastAsia="Arial" w:hAnsi="Arial"/>
          <w:sz w:val="22"/>
          <w:szCs w:val="22"/>
        </w:rPr>
        <w:t xml:space="preserve">The creator’s side of that split has its own mechanics. When a Robux is spent on a virtual item, the creator of the item takes 30%, the seller who distributes it takes 40%, and Roblox keeps 30%; a creator who sells their own creation inside their own experience keeps 70% (FY2025 10-K). Earned Robux are then converted back to dollars through the Developer Exchange programme at a rate Roblox sets. That rate was $0.0035 per Robux from before the IPO until September 2025, when it rose 8.5% to $0.0038; the qualification threshold has been cut twice, from 100,000 earned Robux to 50,000 in 2022 and to 30,000 in 2023 (FY2025 10-K). More than 35,500 creators were qualified at the end of FY2025 and more than 23,500 were actually paid.</w:t>
      </w:r>
    </w:p>
    <w:p>
      <w:pPr>
        <w:spacing w:after="180" w:before="180"/>
      </w:pPr>
      <w:r>
        <w:rPr>
          <w:rFonts w:ascii="Arial" w:cs="Arial" w:eastAsia="Arial" w:hAnsi="Arial"/>
          <w:b/>
          <w:bCs/>
          <w:color w:val="1F3864"/>
          <w:sz w:val="28"/>
          <w:szCs w:val="28"/>
        </w:rPr>
        <w:t xml:space="preserve">Who pays, and who does not</w:t>
      </w:r>
    </w:p>
    <w:p>
      <w:pPr>
        <w:spacing w:after="140" w:line="280"/>
        <w:jc w:val="left"/>
      </w:pPr>
      <w:r>
        <w:rPr>
          <w:rFonts w:ascii="Arial" w:cs="Arial" w:eastAsia="Arial" w:hAnsi="Arial"/>
          <w:sz w:val="22"/>
          <w:szCs w:val="22"/>
        </w:rPr>
        <w:t xml:space="preserve">The monetisation base is far narrower than the user base. Across FY2025 Roblox averaged 127 million daily active users generating 123.9 billion hours of engagement, but only about 1.8 million average daily unique paying users, and average daily bookings per user of $0.15 (FY2025 10-K). Geography compounds the gap: 82% of daily users sit outside the United States and Canada, but those users produced only 39% of revenue. The United States and Canada supplied 61% of FY2025 revenue, Europe 19%, Asia-Pacific 11% and the rest of the world 9%.</w:t>
      </w:r>
    </w:p>
    <w:p>
      <w:pPr>
        <w:spacing w:after="140" w:line="280"/>
        <w:jc w:val="left"/>
      </w:pPr>
      <w:r>
        <w:rPr>
          <w:rFonts w:ascii="Arial" w:cs="Arial" w:eastAsia="Arial" w:hAnsi="Arial"/>
          <w:sz w:val="22"/>
          <w:szCs w:val="22"/>
        </w:rPr>
        <w:t xml:space="preserve">The age composition of that base has become harder to see. The 2020 Form S-1 disclosed that 54% of users were under 13; the FY2021 10-K put it at 49%; the FY2025 10-K gives no percentage at all and states that age-demographic data was not reported for the fourth quarter of 2025 because of the transition to age checking. The metric that most determines regulatory exposure stopped being published in the same year regulation began to bite.</w:t>
      </w:r>
    </w:p>
    <w:p>
      <w:pPr>
        <w:spacing w:after="180" w:before="180"/>
      </w:pPr>
      <w:r>
        <w:rPr>
          <w:rFonts w:ascii="Arial" w:cs="Arial" w:eastAsia="Arial" w:hAnsi="Arial"/>
          <w:b/>
          <w:bCs/>
          <w:color w:val="1F3864"/>
          <w:sz w:val="28"/>
          <w:szCs w:val="28"/>
        </w:rPr>
        <w:t xml:space="preserve">The lines being added, and what they are worth</w:t>
      </w:r>
    </w:p>
    <w:p>
      <w:pPr>
        <w:spacing w:after="140" w:line="280"/>
        <w:jc w:val="left"/>
      </w:pPr>
      <w:r>
        <w:rPr>
          <w:rFonts w:ascii="Arial" w:cs="Arial" w:eastAsia="Arial" w:hAnsi="Arial"/>
          <w:sz w:val="22"/>
          <w:szCs w:val="22"/>
        </w:rPr>
        <w:t xml:space="preserve">Roblox has been layering new revenue mechanics onto the Robux economy: immersive advertising formats, a self-serve intellectual-property License Manager launched in late 2025, the Creator Rewards Program that replaced engagement-based payouts in July 2025, a $4.99 Roblox Plus subscription, and age-tiered Kids and Select accounts launched in June 2026. Their combined contribution is not yet visible. The FY2025 10-K describes advertising and licensing revenue as “insignificant” and gives no dollar figure for either. Ninety-eight percent of the economics still run through virtual items, of which 85% were durable in FY2025, down from 91% in each of the two prior years — a mix shift toward consumables that shortens the recognition tail.</w:t>
      </w:r>
    </w:p>
    <w:p>
      <w:pPr>
        <w:spacing w:after="200" w:before="360"/>
      </w:pPr>
      <w:r>
        <w:br w:type="page"/>
      </w:r>
      <w:r>
        <w:rPr>
          <w:rFonts w:ascii="Arial" w:cs="Arial" w:eastAsia="Arial" w:hAnsi="Arial"/>
          <w:b/>
          <w:bCs/>
          <w:color w:val="1F3864"/>
          <w:sz w:val="32"/>
          <w:szCs w:val="32"/>
        </w:rPr>
        <w:t xml:space="preserve">3. Industry, Competitive Position and Moat</w:t>
      </w:r>
    </w:p>
    <w:p>
      <w:pPr>
        <w:spacing w:after="140" w:line="280"/>
        <w:jc w:val="left"/>
      </w:pPr>
      <w:r>
        <w:rPr>
          <w:rFonts w:ascii="Arial" w:cs="Arial" w:eastAsia="Arial" w:hAnsi="Arial"/>
          <w:sz w:val="22"/>
          <w:szCs w:val="22"/>
        </w:rPr>
        <w:t xml:space="preserve">The industry sells discretionary hours of youth attention, converted into small digital purchases. The chain has three stages: an operating-system layer that controls distribution, a platform layer that hosts and matches, and a creator layer that supplies content. The question that matters is which stage keeps the money.</w:t>
      </w:r>
    </w:p>
    <w:p>
      <w:pPr>
        <w:spacing w:after="180" w:before="180"/>
      </w:pPr>
      <w:r>
        <w:rPr>
          <w:rFonts w:ascii="Arial" w:cs="Arial" w:eastAsia="Arial" w:hAnsi="Arial"/>
          <w:b/>
          <w:bCs/>
          <w:color w:val="1F3864"/>
          <w:sz w:val="28"/>
          <w:szCs w:val="28"/>
        </w:rPr>
        <w:t xml:space="preserve">Where the profit pool actually sits</w:t>
      </w:r>
    </w:p>
    <w:p>
      <w:pPr>
        <w:spacing w:after="140" w:line="280"/>
        <w:jc w:val="left"/>
      </w:pPr>
      <w:r>
        <w:rPr>
          <w:rFonts w:ascii="Arial" w:cs="Arial" w:eastAsia="Arial" w:hAnsi="Arial"/>
          <w:sz w:val="22"/>
          <w:szCs w:val="22"/>
        </w:rPr>
        <w:t xml:space="preserve">It does not sit in the middle. Unity Software, the pure engine layer and the closest thing to a substitute for Roblox’s technology, reported FY2025 revenue of $1,849.6M against a GAAP operating loss of $479.1M — a negative 25.9% operating margin (Unity FY2025 results, Feb 2026; margin inferred). Take-Two reported a GAAP operating loss of $104.2M for the year to March 2026. Snap, fifteen years into monetising youth attention, lost $170.7M at the operating line in the June 2026 quarter. The companies that earn are the ones that own intellectual property and reach their customers without renting distribution: Tencent ran a 37.3% non-IFRS operating margin in FY2025 (inferred), NetEase 31.8%, and Krafton 40.9% in the March 2026 quarter. No Western user-generated-content platform surveyed produced a GAAP operating profit in its most recent reported period.</w:t>
      </w:r>
    </w:p>
    <w:p>
      <w:pPr>
        <w:spacing w:after="140" w:line="280"/>
        <w:jc w:val="left"/>
      </w:pPr>
      <w:r>
        <w:rPr>
          <w:rFonts w:ascii="Arial" w:cs="Arial" w:eastAsia="Arial" w:hAnsi="Arial"/>
          <w:sz w:val="22"/>
          <w:szCs w:val="22"/>
        </w:rPr>
        <w:t xml:space="preserve">The mechanism is a two-sided squeeze, and both sides are set by someone else. On the distribution side, Apple’s standard commission remains 30% with a 15% small-business rate, and the US position is unresolved: the Ninth Circuit affirmed the contempt finding against Apple in December 2025 but vacated the blanket ban on charging for external purchase links, and Apple’s proposed 15/10/5% schedule filed in August 2026 still awaits district-court approval. Google’s European, UK and US rates reset by settlement on 30 June 2026 to roughly 20–25% plus a 5% billing fee. The toll is falling, but it is being set by a court, not negotiated.</w:t>
      </w:r>
    </w:p>
    <w:p>
      <w:pPr>
        <w:spacing w:after="140" w:line="280"/>
        <w:jc w:val="left"/>
      </w:pPr>
      <w:r>
        <w:rPr>
          <w:rFonts w:ascii="Arial" w:cs="Arial" w:eastAsia="Arial" w:hAnsi="Arial"/>
          <w:sz w:val="22"/>
          <w:szCs w:val="22"/>
        </w:rPr>
        <w:t xml:space="preserve">On the creator side the floor is set by a competitor who does not need to earn a profit on it. Epic allocates 40% of eligible Fortnite net revenue to its Creative engagement pool and has been paying 100% of Sponsored Row revenue through the end of 2026 (Epic developer documentation). Roblox paid out 22.1% of bookings in FY2025 and 23.3% in the June 2026 quarter (calculated) — and then raised effective creator earnings on age-checked adult US in-experience spending from 26.6% to 37.8% with effect from 8 June 2026 (Q1 2026 shareholder letter). That is a 42% increase in the cash-out rate on the platform’s most valuable cohort, conceded in a year of decelerating bookings.</w:t>
      </w:r>
    </w:p>
    <w:p>
      <w:pPr>
        <w:spacing w:after="180" w:before="180"/>
      </w:pPr>
      <w:r>
        <w:rPr>
          <w:rFonts w:ascii="Arial" w:cs="Arial" w:eastAsia="Arial" w:hAnsi="Arial"/>
          <w:b/>
          <w:bCs/>
          <w:color w:val="1F3864"/>
          <w:sz w:val="28"/>
          <w:szCs w:val="28"/>
        </w:rPr>
        <w:t xml:space="preserve">What Roblox has that is genuinely hard to reproduce</w:t>
      </w:r>
    </w:p>
    <w:p>
      <w:pPr>
        <w:spacing w:after="140" w:line="280"/>
        <w:jc w:val="left"/>
      </w:pPr>
      <w:r>
        <w:rPr>
          <w:rFonts w:ascii="Arial" w:cs="Arial" w:eastAsia="Arial" w:hAnsi="Arial"/>
          <w:sz w:val="22"/>
          <w:szCs w:val="22"/>
        </w:rPr>
        <w:t xml:space="preserve">Of the four candidate barriers — engine, moderation infrastructure, creator base and distribution — only two bind. The engine is not scarce; Unity licenses one to anyone and loses money doing it. Distribution is rented. Moderation infrastructure has become a real barrier precisely because regulators now demand it, and it costs Roblox $1,153.5M a year in infrastructure and trust and safety (FY2025 10-K). The creator base is the asset with no substitute, and the evidence for its scale is the payout: $363M in a single quarter (Q2 2026), against Epic’s disclosure of more than $1bn paid to Fortnite Creative and UEFN creators cumulatively since 2023 (Epic, Unreal Fest 2026).</w:t>
      </w:r>
    </w:p>
    <w:p>
      <w:pPr>
        <w:spacing w:after="140" w:line="280"/>
        <w:jc w:val="left"/>
      </w:pPr>
      <w:r>
        <w:rPr>
          <w:rFonts w:ascii="Arial" w:cs="Arial" w:eastAsia="Arial" w:hAnsi="Arial"/>
          <w:sz w:val="22"/>
          <w:szCs w:val="22"/>
        </w:rPr>
        <w:t xml:space="preserve">Nobody has cold-started a rival in five years. Epic’s UEFN is the only entrant that reached scale, and it did so by extending an existing game that already had hundreds of millions of accounts — creator islands accounted for 47% of Fortnite player hours in May 2026, up from 38% a year earlier. Krafton’s Overdare joint venture exists but disclosed no user, revenue or creator metrics in its March 2026 results. For Rec Room, VRChat, Zepeto, The Sandbox and Decentraland, no primary source publishes user or payout figures at all. That absence is itself the finding: an entrant at scale would have numbers to publish.</w:t>
      </w:r>
    </w:p>
    <w:p>
      <w:pPr>
        <w:spacing w:after="140" w:line="280"/>
        <w:jc w:val="left"/>
      </w:pPr>
      <w:r>
        <w:rPr>
          <w:rFonts w:ascii="Arial" w:cs="Arial" w:eastAsia="Arial" w:hAnsi="Arial"/>
          <w:sz w:val="22"/>
          <w:szCs w:val="22"/>
        </w:rPr>
        <w:t xml:space="preserve">Reach corroborates the position where independent data exists. Ofcom’s 2025 children’s media survey found Roblox reaching 61% of UK 8–14 year-olds in a month, the highest of any games app, in a population where 97% of 8–17s play online games and 53% spend money in them. The company’s claim of network effects is supported. Its stated ambition — the FY2025 10-K describes “an ambitious target of capturing 10% of the global gaming content market” — is unverified as progress, because Roblox has never reported its share against it. FY2025 bookings of $6.79bn against a games market of roughly $201.6bn in 2025 implies about 3.4% (inferred from Newzoo’s 2026 figure of $213.9bn growing 6.1%).</w:t>
      </w:r>
    </w:p>
    <w:p>
      <w:pPr>
        <w:spacing w:after="180" w:before="180"/>
      </w:pPr>
      <w:r>
        <w:rPr>
          <w:rFonts w:ascii="Arial" w:cs="Arial" w:eastAsia="Arial" w:hAnsi="Arial"/>
          <w:b/>
          <w:bCs/>
          <w:color w:val="1F3864"/>
          <w:sz w:val="28"/>
          <w:szCs w:val="28"/>
        </w:rPr>
        <w:t xml:space="preserve">What kind of company wins here</w:t>
      </w:r>
    </w:p>
    <w:p>
      <w:pPr>
        <w:spacing w:after="140" w:line="280"/>
        <w:jc w:val="left"/>
      </w:pPr>
      <w:r>
        <w:rPr>
          <w:rFonts w:ascii="Arial" w:cs="Arial" w:eastAsia="Arial" w:hAnsi="Arial"/>
          <w:sz w:val="22"/>
          <w:szCs w:val="22"/>
        </w:rPr>
        <w:t xml:space="preserve">The outside evidence points one way: the winners own both the intellectual property and the route to the customer, and therefore buy neither. Roblox owns neither. Its content belongs to creators it must keep paying more to retain, and its distribution belongs to platforms whose rates are being reset by litigation. What it owns is the marketplace between them and the switching costs of a youth social graph. That is a real asset, and it is a structurally thinner one than the asset the profitable comparables hold.</w:t>
      </w:r>
    </w:p>
    <w:p>
      <w:pPr>
        <w:spacing w:after="200" w:before="360"/>
      </w:pPr>
      <w:r>
        <w:br w:type="page"/>
      </w:r>
      <w:r>
        <w:rPr>
          <w:rFonts w:ascii="Arial" w:cs="Arial" w:eastAsia="Arial" w:hAnsi="Arial"/>
          <w:b/>
          <w:bCs/>
          <w:color w:val="1F3864"/>
          <w:sz w:val="32"/>
          <w:szCs w:val="32"/>
        </w:rPr>
        <w:t xml:space="preserve">4. Growth Engine</w:t>
      </w:r>
    </w:p>
    <w:p>
      <w:pPr>
        <w:spacing w:after="140" w:line="280"/>
        <w:jc w:val="left"/>
      </w:pPr>
      <w:r>
        <w:rPr>
          <w:rFonts w:ascii="Arial" w:cs="Arial" w:eastAsia="Arial" w:hAnsi="Arial"/>
          <w:sz w:val="22"/>
          <w:szCs w:val="22"/>
        </w:rPr>
        <w:t xml:space="preserve">Acquisitions do not explain any of Roblox’s growth. The four deals disclosed across the period — Guilded at $77.6M in 2021, Hamul at $19.3M and Byfron at $9.6M in 2022, Speechly at $10.1M in 2023 — total roughly $117M, and the Morpheus AI acquisition in June 2026 cost about $6M in net cash. Reported growth is organic growth. The decomposition that does matter is a different one: between cash the business collected and revenue it reported.</w:t>
      </w:r>
    </w:p>
    <w:p>
      <w:pPr>
        <w:spacing w:after="140" w:line="280"/>
        <w:jc w:val="left"/>
      </w:pPr>
      <w:r>
        <w:rPr>
          <w:rFonts w:ascii="Arial" w:cs="Arial" w:eastAsia="Arial" w:hAnsi="Arial"/>
          <w:sz w:val="22"/>
          <w:szCs w:val="22"/>
        </w:rPr>
        <w:t xml:space="preserve">In the quarter ended 30 June 2026, revenue grew 36% year on year while bookings grew 8%. Those two numbers describe the same company at two different points in time. Reported revenue is still recognising bookings collected across 2024 and 2025, when growth was much faster; bookings describe what users are paying now. The 28-point gap between them is not a business improving — it is the 27-month recognition schedule delivering the past. Any assessment built on the reported revenue line is, mechanically, an assessment of the business as it was two years ago.</w:t>
      </w:r>
    </w:p>
    <w:p>
      <w:pPr>
        <w:spacing w:after="180" w:before="180"/>
      </w:pPr>
      <w:r>
        <w:rPr>
          <w:rFonts w:ascii="Arial" w:cs="Arial" w:eastAsia="Arial" w:hAnsi="Arial"/>
          <w:b/>
          <w:bCs/>
          <w:color w:val="1F3864"/>
          <w:sz w:val="28"/>
          <w:szCs w:val="28"/>
        </w:rPr>
        <w:t xml:space="preserve">The drivers, ranked</w:t>
      </w:r>
    </w:p>
    <w:p>
      <w:pPr>
        <w:pStyle w:val="ListParagraph"/>
        <w:numPr>
          <w:ilvl w:val="0"/>
          <w:numId w:val="2"/>
        </w:numPr>
        <w:spacing w:after="110" w:line="280"/>
      </w:pPr>
      <w:r>
        <w:rPr>
          <w:rFonts w:ascii="Arial" w:cs="Arial" w:eastAsia="Arial" w:hAnsi="Arial"/>
          <w:b/>
          <w:bCs/>
          <w:sz w:val="22"/>
          <w:szCs w:val="22"/>
        </w:rPr>
        <w:t xml:space="preserve">User growth — structural, but decelerating sharply. </w:t>
      </w:r>
      <w:r>
        <w:rPr>
          <w:rFonts w:ascii="Arial" w:cs="Arial" w:eastAsia="Arial" w:hAnsi="Arial"/>
          <w:sz w:val="22"/>
          <w:szCs w:val="22"/>
        </w:rPr>
        <w:t xml:space="preserve">Average daily users went from 17.6 million in FY2019 to 127 million in FY2025 (FY2021 and FY2025 10-Ks). The June 2026 quarter averaged 123 million, up 10% year on year but down from a peak of 151.5 million in the September 2025 quarter.</w:t>
      </w:r>
    </w:p>
    <w:p>
      <w:pPr>
        <w:pStyle w:val="ListParagraph"/>
        <w:numPr>
          <w:ilvl w:val="0"/>
          <w:numId w:val="2"/>
        </w:numPr>
        <w:spacing w:after="110" w:line="280"/>
      </w:pPr>
      <w:r>
        <w:rPr>
          <w:rFonts w:ascii="Arial" w:cs="Arial" w:eastAsia="Arial" w:hAnsi="Arial"/>
          <w:b/>
          <w:bCs/>
          <w:sz w:val="22"/>
          <w:szCs w:val="22"/>
        </w:rPr>
        <w:t xml:space="preserve">The recognition lag — temporary and purely mechanical. </w:t>
      </w:r>
      <w:r>
        <w:rPr>
          <w:rFonts w:ascii="Arial" w:cs="Arial" w:eastAsia="Arial" w:hAnsi="Arial"/>
          <w:sz w:val="22"/>
          <w:szCs w:val="22"/>
        </w:rPr>
        <w:t xml:space="preserve">Deferred revenue rose $1,934.0M in FY2025 alone (FY2025 10-K). That build is what allows reported revenue to grow at four times the rate of bookings; it reverses when bookings stop growing.</w:t>
      </w:r>
    </w:p>
    <w:p>
      <w:pPr>
        <w:pStyle w:val="ListParagraph"/>
        <w:numPr>
          <w:ilvl w:val="0"/>
          <w:numId w:val="2"/>
        </w:numPr>
        <w:spacing w:after="110" w:line="280"/>
      </w:pPr>
      <w:r>
        <w:rPr>
          <w:rFonts w:ascii="Arial" w:cs="Arial" w:eastAsia="Arial" w:hAnsi="Arial"/>
          <w:b/>
          <w:bCs/>
          <w:sz w:val="22"/>
          <w:szCs w:val="22"/>
        </w:rPr>
        <w:t xml:space="preserve">Bookings per user — flat, and the reason growth needs users. </w:t>
      </w:r>
      <w:r>
        <w:rPr>
          <w:rFonts w:ascii="Arial" w:cs="Arial" w:eastAsia="Arial" w:hAnsi="Arial"/>
          <w:sz w:val="22"/>
          <w:szCs w:val="22"/>
        </w:rPr>
        <w:t xml:space="preserve">Annual bookings per daily user were $51.29 in FY2022, $51.47 in FY2023, $52.70 in FY2024 and $53.45 in FY2025 (calculated). Four years of essentially no monetisation gain per user means every dollar of growth has had to come from adding users or from timing.</w:t>
      </w:r>
    </w:p>
    <w:p>
      <w:pPr>
        <w:pStyle w:val="ListParagraph"/>
        <w:numPr>
          <w:ilvl w:val="0"/>
          <w:numId w:val="2"/>
        </w:numPr>
        <w:spacing w:after="110" w:line="280"/>
      </w:pPr>
      <w:r>
        <w:rPr>
          <w:rFonts w:ascii="Arial" w:cs="Arial" w:eastAsia="Arial" w:hAnsi="Arial"/>
          <w:b/>
          <w:bCs/>
          <w:sz w:val="22"/>
          <w:szCs w:val="22"/>
        </w:rPr>
        <w:t xml:space="preserve">International mix — structural, and dilutive. </w:t>
      </w:r>
      <w:r>
        <w:rPr>
          <w:rFonts w:ascii="Arial" w:cs="Arial" w:eastAsia="Arial" w:hAnsi="Arial"/>
          <w:sz w:val="22"/>
          <w:szCs w:val="22"/>
        </w:rPr>
        <w:t xml:space="preserve">Growth has come disproportionately from outside North America, where 82% of users generate 39% of revenue. Each new user added in Asia-Pacific or the rest of the world lowers the average.</w:t>
      </w:r>
    </w:p>
    <w:p>
      <w:pPr>
        <w:pStyle w:val="ListParagraph"/>
        <w:numPr>
          <w:ilvl w:val="0"/>
          <w:numId w:val="2"/>
        </w:numPr>
        <w:spacing w:after="110" w:line="280"/>
      </w:pPr>
      <w:r>
        <w:rPr>
          <w:rFonts w:ascii="Arial" w:cs="Arial" w:eastAsia="Arial" w:hAnsi="Arial"/>
          <w:b/>
          <w:bCs/>
          <w:sz w:val="22"/>
          <w:szCs w:val="22"/>
        </w:rPr>
        <w:t xml:space="preserve">A step-change in engagement in the September 2025 quarter — temporary. </w:t>
      </w:r>
      <w:r>
        <w:rPr>
          <w:rFonts w:ascii="Arial" w:cs="Arial" w:eastAsia="Arial" w:hAnsi="Arial"/>
          <w:sz w:val="22"/>
          <w:szCs w:val="22"/>
        </w:rPr>
        <w:t xml:space="preserve">Daily users jumped from 111.8 million to 151.5 million and bookings from $1,437.6M to $1,921.8M in a single quarter, then fell in each of the three quarters since. The FY2025 10-K attributes part of the company’s growth to “the virality of certain experiences”; the filings name no specific title, so the attribution of this particular step to one hit is (inferred).</w:t>
      </w:r>
    </w:p>
    <w:p>
      <w:pPr>
        <w:pStyle w:val="ListParagraph"/>
        <w:numPr>
          <w:ilvl w:val="0"/>
          <w:numId w:val="2"/>
        </w:numPr>
        <w:spacing w:after="110" w:line="280"/>
      </w:pPr>
      <w:r>
        <w:rPr>
          <w:rFonts w:ascii="Arial" w:cs="Arial" w:eastAsia="Arial" w:hAnsi="Arial"/>
          <w:b/>
          <w:bCs/>
          <w:sz w:val="22"/>
          <w:szCs w:val="22"/>
        </w:rPr>
        <w:t xml:space="preserve">Advertising, commerce and licensing — management-driven, and not yet real. </w:t>
      </w:r>
      <w:r>
        <w:rPr>
          <w:rFonts w:ascii="Arial" w:cs="Arial" w:eastAsia="Arial" w:hAnsi="Arial"/>
          <w:sz w:val="22"/>
          <w:szCs w:val="22"/>
        </w:rPr>
        <w:t xml:space="preserve">Immersive ads run with Google, Amazon DSP, Liftoff and several exchanges, and a self-serve IP License Manager launched in late 2025 — but the FY2025 10-K still calls advertising and licensing revenue “insignificant” and quantifies neither.</w:t>
      </w:r>
    </w:p>
    <w:p>
      <w:pPr>
        <w:spacing w:after="140" w:line="280"/>
        <w:jc w:val="left"/>
      </w:pPr>
      <w:r>
        <w:rPr>
          <w:rFonts w:ascii="Arial" w:cs="Arial" w:eastAsia="Arial" w:hAnsi="Arial"/>
          <w:sz w:val="22"/>
          <w:szCs w:val="22"/>
        </w:rPr>
        <w:t xml:space="preserve">The consequence of that ranking is visible in the guidance. Roblox cut its FY2026 bookings outlook from 22–26% growth in February 2026 to 8–12% in April, and on 30 July 2026 withdrew full-year guidance entirely, moving to quarterly guidance only. The September 2026 quarter is guided to bookings of $1,576–$1,653M — a decline of 14% to 18% against the viral September 2025 quarter — while revenue is still guided to grow 4% to 10%. The two lines are now moving in opposite directions.</w:t>
      </w:r>
    </w:p>
    <w:p>
      <w:pPr>
        <w:spacing w:after="200" w:before="360"/>
      </w:pPr>
      <w:r>
        <w:br w:type="page"/>
      </w:r>
      <w:r>
        <w:rPr>
          <w:rFonts w:ascii="Arial" w:cs="Arial" w:eastAsia="Arial" w:hAnsi="Arial"/>
          <w:b/>
          <w:bCs/>
          <w:color w:val="1F3864"/>
          <w:sz w:val="32"/>
          <w:szCs w:val="32"/>
        </w:rPr>
        <w:t xml:space="preserve">5. Margin, Cash and Capital Allocation</w:t>
      </w:r>
    </w:p>
    <w:p>
      <w:pPr>
        <w:spacing w:after="140" w:line="280"/>
        <w:jc w:val="left"/>
      </w:pPr>
      <w:r>
        <w:rPr>
          <w:rFonts w:ascii="Arial" w:cs="Arial" w:eastAsia="Arial" w:hAnsi="Arial"/>
          <w:sz w:val="22"/>
          <w:szCs w:val="22"/>
        </w:rPr>
        <w:t xml:space="preserve">Roblox has never reported a GAAP profit, and the loss has not narrowed as it has scaled: $495.1M of operating loss in FY2021 on $2.7bn of bookings, and $1,232.3M in FY2025 on $6.8bn. The reason is that the two largest cost lines do not behave like fixed costs. Developer exchange fees are a variable toll that has risen every year as a share of bookings, from 16.1% in FY2019 to 22.1% in FY2025. Research and development, at $1,567.7M, absorbed 32% of FY2025 revenue and is dominated by people: stock-based compensation of $1,129.0M in FY2025 equalled 23% of revenue, and $764.1M of it sat inside R&amp;D alone.</w:t>
      </w:r>
    </w:p>
    <w:p>
      <w:pPr>
        <w:spacing w:after="140" w:line="280"/>
        <w:jc w:val="left"/>
      </w:pPr>
      <w:r>
        <w:rPr>
          <w:rFonts w:ascii="Arial" w:cs="Arial" w:eastAsia="Arial" w:hAnsi="Arial"/>
          <w:sz w:val="22"/>
          <w:szCs w:val="22"/>
        </w:rPr>
        <w:t xml:space="preserve">Cash tells a different story, and both stories are true. FY2025 net loss of $1,071.6M became operating cash flow of $1,796.4M and free cash flow of $1,352.9M — roughly 20 cents of free cash on every dollar of bookings. The bridge is two items: the $1,934.0M increase in deferred revenue, which is cash received for revenue not yet recognised, and $1,129.0M of stock compensation, which is a real cost borne by shareholders through dilution rather than by the income statement in cash. Neither is a sign of operating leverage. The first is a growth artefact that unwinds; the second is a transfer.</w:t>
      </w:r>
    </w:p>
    <w:p>
      <w:pPr>
        <w:spacing w:after="180" w:before="180"/>
      </w:pPr>
      <w:r>
        <w:rPr>
          <w:rFonts w:ascii="Arial" w:cs="Arial" w:eastAsia="Arial" w:hAnsi="Arial"/>
          <w:b/>
          <w:bCs/>
          <w:color w:val="1F3864"/>
          <w:sz w:val="28"/>
          <w:szCs w:val="28"/>
        </w:rPr>
        <w:t xml:space="preserve">The financial spine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1960"/>
        <w:gridCol w:w="1850"/>
        <w:gridCol w:w="1850"/>
        <w:gridCol w:w="1850"/>
        <w:gridCol w:w="1850"/>
      </w:tblGrid>
      <w:tr>
        <w:tc>
          <w:tcPr>
            <w:tcW w:type="dxa" w:w="1960"/>
            <w:shd w:fill="EDF0F7"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$M unless stated</w:t>
            </w:r>
          </w:p>
        </w:tc>
        <w:tc>
          <w:tcPr>
            <w:tcW w:type="dxa" w:w="1850"/>
            <w:shd w:fill="EDF0F7" w:color="auto" w:val="clear"/>
            <w:tcMar>
              <w:top w:type="dxa" w:w="80"/>
              <w:left w:type="dxa" w:w="120"/>
              <w:bottom w:type="dxa" w:w="80"/>
              <w:right w:type="dxa" w:w="120"/>
            </w:tcMar>
          </w:tcPr>
          <w:p>
            <w:pPr>
              <w:spacing w:after="0" w:line="260"/>
              <w:jc w:val="right"/>
            </w:pPr>
            <w:r>
              <w:rPr>
                <w:rFonts w:ascii="Arial" w:cs="Arial" w:eastAsia="Arial" w:hAnsi="Arial"/>
                <w:b/>
                <w:bCs/>
                <w:sz w:val="20"/>
                <w:szCs w:val="20"/>
              </w:rPr>
              <w:t xml:space="preserve">FY2021</w:t>
            </w:r>
          </w:p>
        </w:tc>
        <w:tc>
          <w:tcPr>
            <w:tcW w:type="dxa" w:w="1850"/>
            <w:shd w:fill="EDF0F7" w:color="auto" w:val="clear"/>
            <w:tcMar>
              <w:top w:type="dxa" w:w="80"/>
              <w:left w:type="dxa" w:w="120"/>
              <w:bottom w:type="dxa" w:w="80"/>
              <w:right w:type="dxa" w:w="120"/>
            </w:tcMar>
          </w:tcPr>
          <w:p>
            <w:pPr>
              <w:spacing w:after="0" w:line="260"/>
              <w:jc w:val="right"/>
            </w:pPr>
            <w:r>
              <w:rPr>
                <w:rFonts w:ascii="Arial" w:cs="Arial" w:eastAsia="Arial" w:hAnsi="Arial"/>
                <w:b/>
                <w:bCs/>
                <w:sz w:val="20"/>
                <w:szCs w:val="20"/>
              </w:rPr>
              <w:t xml:space="preserve">FY2023</w:t>
            </w:r>
          </w:p>
        </w:tc>
        <w:tc>
          <w:tcPr>
            <w:tcW w:type="dxa" w:w="1850"/>
            <w:shd w:fill="EDF0F7" w:color="auto" w:val="clear"/>
            <w:tcMar>
              <w:top w:type="dxa" w:w="80"/>
              <w:left w:type="dxa" w:w="120"/>
              <w:bottom w:type="dxa" w:w="80"/>
              <w:right w:type="dxa" w:w="120"/>
            </w:tcMar>
          </w:tcPr>
          <w:p>
            <w:pPr>
              <w:spacing w:after="0" w:line="260"/>
              <w:jc w:val="right"/>
            </w:pPr>
            <w:r>
              <w:rPr>
                <w:rFonts w:ascii="Arial" w:cs="Arial" w:eastAsia="Arial" w:hAnsi="Arial"/>
                <w:b/>
                <w:bCs/>
                <w:sz w:val="20"/>
                <w:szCs w:val="20"/>
              </w:rPr>
              <w:t xml:space="preserve">FY2024</w:t>
            </w:r>
          </w:p>
        </w:tc>
        <w:tc>
          <w:tcPr>
            <w:tcW w:type="dxa" w:w="1850"/>
            <w:shd w:fill="EDF0F7" w:color="auto" w:val="clear"/>
            <w:tcMar>
              <w:top w:type="dxa" w:w="80"/>
              <w:left w:type="dxa" w:w="120"/>
              <w:bottom w:type="dxa" w:w="80"/>
              <w:right w:type="dxa" w:w="120"/>
            </w:tcMar>
          </w:tcPr>
          <w:p>
            <w:pPr>
              <w:spacing w:after="0" w:line="260"/>
              <w:jc w:val="right"/>
            </w:pPr>
            <w:r>
              <w:rPr>
                <w:rFonts w:ascii="Arial" w:cs="Arial" w:eastAsia="Arial" w:hAnsi="Arial"/>
                <w:b/>
                <w:bCs/>
                <w:sz w:val="20"/>
                <w:szCs w:val="20"/>
              </w:rPr>
              <w:t xml:space="preserve">FY2025</w:t>
            </w:r>
          </w:p>
        </w:tc>
      </w:tr>
      <w:tr>
        <w:tc>
          <w:tcPr>
            <w:tcW w:type="dxa" w:w="1960"/>
            <w:tcMar>
              <w:top w:type="dxa" w:w="80"/>
              <w:left w:type="dxa" w:w="120"/>
              <w:bottom w:type="dxa" w:w="80"/>
              <w:right w:type="dxa" w:w="120"/>
            </w:tcMar>
          </w:tcPr>
          <w:p>
            <w:pPr>
              <w:spacing w:after="0" w:line="260"/>
              <w:jc w:val="left"/>
            </w:pPr>
            <w:r>
              <w:rPr>
                <w:rFonts w:ascii="Arial" w:cs="Arial" w:eastAsia="Arial" w:hAnsi="Arial"/>
                <w:sz w:val="20"/>
                <w:szCs w:val="20"/>
              </w:rPr>
              <w:t xml:space="preserve">Bookings</w:t>
            </w:r>
          </w:p>
        </w:tc>
        <w:tc>
          <w:tcPr>
            <w:tcW w:type="dxa" w:w="1850"/>
            <w:tcMar>
              <w:top w:type="dxa" w:w="80"/>
              <w:left w:type="dxa" w:w="120"/>
              <w:bottom w:type="dxa" w:w="80"/>
              <w:right w:type="dxa" w:w="120"/>
            </w:tcMar>
          </w:tcPr>
          <w:p>
            <w:pPr>
              <w:spacing w:after="0" w:line="260"/>
              <w:jc w:val="right"/>
            </w:pPr>
            <w:r>
              <w:rPr>
                <w:rFonts w:ascii="Arial" w:cs="Arial" w:eastAsia="Arial" w:hAnsi="Arial"/>
                <w:sz w:val="20"/>
                <w:szCs w:val="20"/>
              </w:rPr>
              <w:t xml:space="preserve">2,725.7</w:t>
            </w:r>
          </w:p>
        </w:tc>
        <w:tc>
          <w:tcPr>
            <w:tcW w:type="dxa" w:w="1850"/>
            <w:tcMar>
              <w:top w:type="dxa" w:w="80"/>
              <w:left w:type="dxa" w:w="120"/>
              <w:bottom w:type="dxa" w:w="80"/>
              <w:right w:type="dxa" w:w="120"/>
            </w:tcMar>
          </w:tcPr>
          <w:p>
            <w:pPr>
              <w:spacing w:after="0" w:line="260"/>
              <w:jc w:val="right"/>
            </w:pPr>
            <w:r>
              <w:rPr>
                <w:rFonts w:ascii="Arial" w:cs="Arial" w:eastAsia="Arial" w:hAnsi="Arial"/>
                <w:sz w:val="20"/>
                <w:szCs w:val="20"/>
              </w:rPr>
              <w:t xml:space="preserve">3,520.8</w:t>
            </w:r>
          </w:p>
        </w:tc>
        <w:tc>
          <w:tcPr>
            <w:tcW w:type="dxa" w:w="1850"/>
            <w:tcMar>
              <w:top w:type="dxa" w:w="80"/>
              <w:left w:type="dxa" w:w="120"/>
              <w:bottom w:type="dxa" w:w="80"/>
              <w:right w:type="dxa" w:w="120"/>
            </w:tcMar>
          </w:tcPr>
          <w:p>
            <w:pPr>
              <w:spacing w:after="0" w:line="260"/>
              <w:jc w:val="right"/>
            </w:pPr>
            <w:r>
              <w:rPr>
                <w:rFonts w:ascii="Arial" w:cs="Arial" w:eastAsia="Arial" w:hAnsi="Arial"/>
                <w:sz w:val="20"/>
                <w:szCs w:val="20"/>
              </w:rPr>
              <w:t xml:space="preserve">4,369.1</w:t>
            </w:r>
          </w:p>
        </w:tc>
        <w:tc>
          <w:tcPr>
            <w:tcW w:type="dxa" w:w="1850"/>
            <w:tcMar>
              <w:top w:type="dxa" w:w="80"/>
              <w:left w:type="dxa" w:w="120"/>
              <w:bottom w:type="dxa" w:w="80"/>
              <w:right w:type="dxa" w:w="120"/>
            </w:tcMar>
          </w:tcPr>
          <w:p>
            <w:pPr>
              <w:spacing w:after="0" w:line="260"/>
              <w:jc w:val="right"/>
            </w:pPr>
            <w:r>
              <w:rPr>
                <w:rFonts w:ascii="Arial" w:cs="Arial" w:eastAsia="Arial" w:hAnsi="Arial"/>
                <w:sz w:val="20"/>
                <w:szCs w:val="20"/>
              </w:rPr>
              <w:t xml:space="preserve">6,788.4</w:t>
            </w:r>
          </w:p>
        </w:tc>
      </w:tr>
      <w:tr>
        <w:tc>
          <w:tcPr>
            <w:tcW w:type="dxa" w:w="1960"/>
            <w:shd w:fill="F7F7F7" w:color="auto" w:val="clear"/>
            <w:tcMar>
              <w:top w:type="dxa" w:w="80"/>
              <w:left w:type="dxa" w:w="120"/>
              <w:bottom w:type="dxa" w:w="80"/>
              <w:right w:type="dxa" w:w="120"/>
            </w:tcMar>
          </w:tcPr>
          <w:p>
            <w:pPr>
              <w:spacing w:after="0" w:line="260"/>
              <w:jc w:val="left"/>
            </w:pPr>
            <w:r>
              <w:rPr>
                <w:rFonts w:ascii="Arial" w:cs="Arial" w:eastAsia="Arial" w:hAnsi="Arial"/>
                <w:sz w:val="20"/>
                <w:szCs w:val="20"/>
              </w:rPr>
              <w:t xml:space="preserve">Revenue</w:t>
            </w:r>
          </w:p>
        </w:tc>
        <w:tc>
          <w:tcPr>
            <w:tcW w:type="dxa" w:w="1850"/>
            <w:shd w:fill="F7F7F7" w:color="auto" w:val="clear"/>
            <w:tcMar>
              <w:top w:type="dxa" w:w="80"/>
              <w:left w:type="dxa" w:w="120"/>
              <w:bottom w:type="dxa" w:w="80"/>
              <w:right w:type="dxa" w:w="120"/>
            </w:tcMar>
          </w:tcPr>
          <w:p>
            <w:pPr>
              <w:spacing w:after="0" w:line="260"/>
              <w:jc w:val="right"/>
            </w:pPr>
            <w:r>
              <w:rPr>
                <w:rFonts w:ascii="Arial" w:cs="Arial" w:eastAsia="Arial" w:hAnsi="Arial"/>
                <w:sz w:val="20"/>
                <w:szCs w:val="20"/>
              </w:rPr>
              <w:t xml:space="preserve">1,919.2</w:t>
            </w:r>
          </w:p>
        </w:tc>
        <w:tc>
          <w:tcPr>
            <w:tcW w:type="dxa" w:w="1850"/>
            <w:shd w:fill="F7F7F7" w:color="auto" w:val="clear"/>
            <w:tcMar>
              <w:top w:type="dxa" w:w="80"/>
              <w:left w:type="dxa" w:w="120"/>
              <w:bottom w:type="dxa" w:w="80"/>
              <w:right w:type="dxa" w:w="120"/>
            </w:tcMar>
          </w:tcPr>
          <w:p>
            <w:pPr>
              <w:spacing w:after="0" w:line="260"/>
              <w:jc w:val="right"/>
            </w:pPr>
            <w:r>
              <w:rPr>
                <w:rFonts w:ascii="Arial" w:cs="Arial" w:eastAsia="Arial" w:hAnsi="Arial"/>
                <w:sz w:val="20"/>
                <w:szCs w:val="20"/>
              </w:rPr>
              <w:t xml:space="preserve">2,799.3</w:t>
            </w:r>
          </w:p>
        </w:tc>
        <w:tc>
          <w:tcPr>
            <w:tcW w:type="dxa" w:w="1850"/>
            <w:shd w:fill="F7F7F7" w:color="auto" w:val="clear"/>
            <w:tcMar>
              <w:top w:type="dxa" w:w="80"/>
              <w:left w:type="dxa" w:w="120"/>
              <w:bottom w:type="dxa" w:w="80"/>
              <w:right w:type="dxa" w:w="120"/>
            </w:tcMar>
          </w:tcPr>
          <w:p>
            <w:pPr>
              <w:spacing w:after="0" w:line="260"/>
              <w:jc w:val="right"/>
            </w:pPr>
            <w:r>
              <w:rPr>
                <w:rFonts w:ascii="Arial" w:cs="Arial" w:eastAsia="Arial" w:hAnsi="Arial"/>
                <w:sz w:val="20"/>
                <w:szCs w:val="20"/>
              </w:rPr>
              <w:t xml:space="preserve">3,602.0</w:t>
            </w:r>
          </w:p>
        </w:tc>
        <w:tc>
          <w:tcPr>
            <w:tcW w:type="dxa" w:w="1850"/>
            <w:shd w:fill="F7F7F7" w:color="auto" w:val="clear"/>
            <w:tcMar>
              <w:top w:type="dxa" w:w="80"/>
              <w:left w:type="dxa" w:w="120"/>
              <w:bottom w:type="dxa" w:w="80"/>
              <w:right w:type="dxa" w:w="120"/>
            </w:tcMar>
          </w:tcPr>
          <w:p>
            <w:pPr>
              <w:spacing w:after="0" w:line="260"/>
              <w:jc w:val="right"/>
            </w:pPr>
            <w:r>
              <w:rPr>
                <w:rFonts w:ascii="Arial" w:cs="Arial" w:eastAsia="Arial" w:hAnsi="Arial"/>
                <w:sz w:val="20"/>
                <w:szCs w:val="20"/>
              </w:rPr>
              <w:t xml:space="preserve">4,890.6</w:t>
            </w:r>
          </w:p>
        </w:tc>
      </w:tr>
      <w:tr>
        <w:tc>
          <w:tcPr>
            <w:tcW w:type="dxa" w:w="1960"/>
            <w:tcMar>
              <w:top w:type="dxa" w:w="80"/>
              <w:left w:type="dxa" w:w="120"/>
              <w:bottom w:type="dxa" w:w="80"/>
              <w:right w:type="dxa" w:w="120"/>
            </w:tcMar>
          </w:tcPr>
          <w:p>
            <w:pPr>
              <w:spacing w:after="0" w:line="260"/>
              <w:jc w:val="left"/>
            </w:pPr>
            <w:r>
              <w:rPr>
                <w:rFonts w:ascii="Arial" w:cs="Arial" w:eastAsia="Arial" w:hAnsi="Arial"/>
                <w:sz w:val="20"/>
                <w:szCs w:val="20"/>
              </w:rPr>
              <w:t xml:space="preserve">Developer exchange fees, % of bookings</w:t>
            </w:r>
          </w:p>
        </w:tc>
        <w:tc>
          <w:tcPr>
            <w:tcW w:type="dxa" w:w="1850"/>
            <w:tcMar>
              <w:top w:type="dxa" w:w="80"/>
              <w:left w:type="dxa" w:w="120"/>
              <w:bottom w:type="dxa" w:w="80"/>
              <w:right w:type="dxa" w:w="120"/>
            </w:tcMar>
          </w:tcPr>
          <w:p>
            <w:pPr>
              <w:spacing w:after="0" w:line="260"/>
              <w:jc w:val="right"/>
            </w:pPr>
            <w:r>
              <w:rPr>
                <w:rFonts w:ascii="Arial" w:cs="Arial" w:eastAsia="Arial" w:hAnsi="Arial"/>
                <w:sz w:val="20"/>
                <w:szCs w:val="20"/>
              </w:rPr>
              <w:t xml:space="preserve">19.7%</w:t>
            </w:r>
          </w:p>
        </w:tc>
        <w:tc>
          <w:tcPr>
            <w:tcW w:type="dxa" w:w="1850"/>
            <w:tcMar>
              <w:top w:type="dxa" w:w="80"/>
              <w:left w:type="dxa" w:w="120"/>
              <w:bottom w:type="dxa" w:w="80"/>
              <w:right w:type="dxa" w:w="120"/>
            </w:tcMar>
          </w:tcPr>
          <w:p>
            <w:pPr>
              <w:spacing w:after="0" w:line="260"/>
              <w:jc w:val="right"/>
            </w:pPr>
            <w:r>
              <w:rPr>
                <w:rFonts w:ascii="Arial" w:cs="Arial" w:eastAsia="Arial" w:hAnsi="Arial"/>
                <w:sz w:val="20"/>
                <w:szCs w:val="20"/>
              </w:rPr>
              <w:t xml:space="preserve">21.0%</w:t>
            </w:r>
          </w:p>
        </w:tc>
        <w:tc>
          <w:tcPr>
            <w:tcW w:type="dxa" w:w="1850"/>
            <w:tcMar>
              <w:top w:type="dxa" w:w="80"/>
              <w:left w:type="dxa" w:w="120"/>
              <w:bottom w:type="dxa" w:w="80"/>
              <w:right w:type="dxa" w:w="120"/>
            </w:tcMar>
          </w:tcPr>
          <w:p>
            <w:pPr>
              <w:spacing w:after="0" w:line="260"/>
              <w:jc w:val="right"/>
            </w:pPr>
            <w:r>
              <w:rPr>
                <w:rFonts w:ascii="Arial" w:cs="Arial" w:eastAsia="Arial" w:hAnsi="Arial"/>
                <w:sz w:val="20"/>
                <w:szCs w:val="20"/>
              </w:rPr>
              <w:t xml:space="preserve">21.1%</w:t>
            </w:r>
          </w:p>
        </w:tc>
        <w:tc>
          <w:tcPr>
            <w:tcW w:type="dxa" w:w="1850"/>
            <w:tcMar>
              <w:top w:type="dxa" w:w="80"/>
              <w:left w:type="dxa" w:w="120"/>
              <w:bottom w:type="dxa" w:w="80"/>
              <w:right w:type="dxa" w:w="120"/>
            </w:tcMar>
          </w:tcPr>
          <w:p>
            <w:pPr>
              <w:spacing w:after="0" w:line="260"/>
              <w:jc w:val="right"/>
            </w:pPr>
            <w:r>
              <w:rPr>
                <w:rFonts w:ascii="Arial" w:cs="Arial" w:eastAsia="Arial" w:hAnsi="Arial"/>
                <w:sz w:val="20"/>
                <w:szCs w:val="20"/>
              </w:rPr>
              <w:t xml:space="preserve">22.1%</w:t>
            </w:r>
          </w:p>
        </w:tc>
      </w:tr>
      <w:tr>
        <w:tc>
          <w:tcPr>
            <w:tcW w:type="dxa" w:w="1960"/>
            <w:shd w:fill="F7F7F7" w:color="auto" w:val="clear"/>
            <w:tcMar>
              <w:top w:type="dxa" w:w="80"/>
              <w:left w:type="dxa" w:w="120"/>
              <w:bottom w:type="dxa" w:w="80"/>
              <w:right w:type="dxa" w:w="120"/>
            </w:tcMar>
          </w:tcPr>
          <w:p>
            <w:pPr>
              <w:spacing w:after="0" w:line="260"/>
              <w:jc w:val="left"/>
            </w:pPr>
            <w:r>
              <w:rPr>
                <w:rFonts w:ascii="Arial" w:cs="Arial" w:eastAsia="Arial" w:hAnsi="Arial"/>
                <w:sz w:val="20"/>
                <w:szCs w:val="20"/>
              </w:rPr>
              <w:t xml:space="preserve">Loss from operations</w:t>
            </w:r>
          </w:p>
        </w:tc>
        <w:tc>
          <w:tcPr>
            <w:tcW w:type="dxa" w:w="1850"/>
            <w:shd w:fill="F7F7F7" w:color="auto" w:val="clear"/>
            <w:tcMar>
              <w:top w:type="dxa" w:w="80"/>
              <w:left w:type="dxa" w:w="120"/>
              <w:bottom w:type="dxa" w:w="80"/>
              <w:right w:type="dxa" w:w="120"/>
            </w:tcMar>
          </w:tcPr>
          <w:p>
            <w:pPr>
              <w:spacing w:after="0" w:line="260"/>
              <w:jc w:val="right"/>
            </w:pPr>
            <w:r>
              <w:rPr>
                <w:rFonts w:ascii="Arial" w:cs="Arial" w:eastAsia="Arial" w:hAnsi="Arial"/>
                <w:sz w:val="20"/>
                <w:szCs w:val="20"/>
              </w:rPr>
              <w:t xml:space="preserve">(495.1)</w:t>
            </w:r>
          </w:p>
        </w:tc>
        <w:tc>
          <w:tcPr>
            <w:tcW w:type="dxa" w:w="1850"/>
            <w:shd w:fill="F7F7F7" w:color="auto" w:val="clear"/>
            <w:tcMar>
              <w:top w:type="dxa" w:w="80"/>
              <w:left w:type="dxa" w:w="120"/>
              <w:bottom w:type="dxa" w:w="80"/>
              <w:right w:type="dxa" w:w="120"/>
            </w:tcMar>
          </w:tcPr>
          <w:p>
            <w:pPr>
              <w:spacing w:after="0" w:line="260"/>
              <w:jc w:val="right"/>
            </w:pPr>
            <w:r>
              <w:rPr>
                <w:rFonts w:ascii="Arial" w:cs="Arial" w:eastAsia="Arial" w:hAnsi="Arial"/>
                <w:sz w:val="20"/>
                <w:szCs w:val="20"/>
              </w:rPr>
              <w:t xml:space="preserve">(1,259.1)</w:t>
            </w:r>
          </w:p>
        </w:tc>
        <w:tc>
          <w:tcPr>
            <w:tcW w:type="dxa" w:w="1850"/>
            <w:shd w:fill="F7F7F7" w:color="auto" w:val="clear"/>
            <w:tcMar>
              <w:top w:type="dxa" w:w="80"/>
              <w:left w:type="dxa" w:w="120"/>
              <w:bottom w:type="dxa" w:w="80"/>
              <w:right w:type="dxa" w:w="120"/>
            </w:tcMar>
          </w:tcPr>
          <w:p>
            <w:pPr>
              <w:spacing w:after="0" w:line="260"/>
              <w:jc w:val="right"/>
            </w:pPr>
            <w:r>
              <w:rPr>
                <w:rFonts w:ascii="Arial" w:cs="Arial" w:eastAsia="Arial" w:hAnsi="Arial"/>
                <w:sz w:val="20"/>
                <w:szCs w:val="20"/>
              </w:rPr>
              <w:t xml:space="preserve">(1,063.3)</w:t>
            </w:r>
          </w:p>
        </w:tc>
        <w:tc>
          <w:tcPr>
            <w:tcW w:type="dxa" w:w="1850"/>
            <w:shd w:fill="F7F7F7" w:color="auto" w:val="clear"/>
            <w:tcMar>
              <w:top w:type="dxa" w:w="80"/>
              <w:left w:type="dxa" w:w="120"/>
              <w:bottom w:type="dxa" w:w="80"/>
              <w:right w:type="dxa" w:w="120"/>
            </w:tcMar>
          </w:tcPr>
          <w:p>
            <w:pPr>
              <w:spacing w:after="0" w:line="260"/>
              <w:jc w:val="right"/>
            </w:pPr>
            <w:r>
              <w:rPr>
                <w:rFonts w:ascii="Arial" w:cs="Arial" w:eastAsia="Arial" w:hAnsi="Arial"/>
                <w:sz w:val="20"/>
                <w:szCs w:val="20"/>
              </w:rPr>
              <w:t xml:space="preserve">(1,232.3)</w:t>
            </w:r>
          </w:p>
        </w:tc>
      </w:tr>
      <w:tr>
        <w:tc>
          <w:tcPr>
            <w:tcW w:type="dxa" w:w="1960"/>
            <w:tcMar>
              <w:top w:type="dxa" w:w="80"/>
              <w:left w:type="dxa" w:w="120"/>
              <w:bottom w:type="dxa" w:w="80"/>
              <w:right w:type="dxa" w:w="120"/>
            </w:tcMar>
          </w:tcPr>
          <w:p>
            <w:pPr>
              <w:spacing w:after="0" w:line="260"/>
              <w:jc w:val="left"/>
            </w:pPr>
            <w:r>
              <w:rPr>
                <w:rFonts w:ascii="Arial" w:cs="Arial" w:eastAsia="Arial" w:hAnsi="Arial"/>
                <w:sz w:val="20"/>
                <w:szCs w:val="20"/>
              </w:rPr>
              <w:t xml:space="preserve">Stock-based compensation</w:t>
            </w:r>
          </w:p>
        </w:tc>
        <w:tc>
          <w:tcPr>
            <w:tcW w:type="dxa" w:w="1850"/>
            <w:tcMar>
              <w:top w:type="dxa" w:w="80"/>
              <w:left w:type="dxa" w:w="120"/>
              <w:bottom w:type="dxa" w:w="80"/>
              <w:right w:type="dxa" w:w="120"/>
            </w:tcMar>
          </w:tcPr>
          <w:p>
            <w:pPr>
              <w:spacing w:after="0" w:line="260"/>
              <w:jc w:val="right"/>
            </w:pPr>
            <w:r>
              <w:rPr>
                <w:rFonts w:ascii="Arial" w:cs="Arial" w:eastAsia="Arial" w:hAnsi="Arial"/>
                <w:sz w:val="20"/>
                <w:szCs w:val="20"/>
              </w:rPr>
              <w:t xml:space="preserve">341.9</w:t>
            </w:r>
          </w:p>
        </w:tc>
        <w:tc>
          <w:tcPr>
            <w:tcW w:type="dxa" w:w="1850"/>
            <w:tcMar>
              <w:top w:type="dxa" w:w="80"/>
              <w:left w:type="dxa" w:w="120"/>
              <w:bottom w:type="dxa" w:w="80"/>
              <w:right w:type="dxa" w:w="120"/>
            </w:tcMar>
          </w:tcPr>
          <w:p>
            <w:pPr>
              <w:spacing w:after="0" w:line="260"/>
              <w:jc w:val="right"/>
            </w:pPr>
            <w:r>
              <w:rPr>
                <w:rFonts w:ascii="Arial" w:cs="Arial" w:eastAsia="Arial" w:hAnsi="Arial"/>
                <w:sz w:val="20"/>
                <w:szCs w:val="20"/>
              </w:rPr>
              <w:t xml:space="preserve">868.0</w:t>
            </w:r>
          </w:p>
        </w:tc>
        <w:tc>
          <w:tcPr>
            <w:tcW w:type="dxa" w:w="1850"/>
            <w:tcMar>
              <w:top w:type="dxa" w:w="80"/>
              <w:left w:type="dxa" w:w="120"/>
              <w:bottom w:type="dxa" w:w="80"/>
              <w:right w:type="dxa" w:w="120"/>
            </w:tcMar>
          </w:tcPr>
          <w:p>
            <w:pPr>
              <w:spacing w:after="0" w:line="260"/>
              <w:jc w:val="right"/>
            </w:pPr>
            <w:r>
              <w:rPr>
                <w:rFonts w:ascii="Arial" w:cs="Arial" w:eastAsia="Arial" w:hAnsi="Arial"/>
                <w:sz w:val="20"/>
                <w:szCs w:val="20"/>
              </w:rPr>
              <w:t xml:space="preserve">1,015.8</w:t>
            </w:r>
          </w:p>
        </w:tc>
        <w:tc>
          <w:tcPr>
            <w:tcW w:type="dxa" w:w="1850"/>
            <w:tcMar>
              <w:top w:type="dxa" w:w="80"/>
              <w:left w:type="dxa" w:w="120"/>
              <w:bottom w:type="dxa" w:w="80"/>
              <w:right w:type="dxa" w:w="120"/>
            </w:tcMar>
          </w:tcPr>
          <w:p>
            <w:pPr>
              <w:spacing w:after="0" w:line="260"/>
              <w:jc w:val="right"/>
            </w:pPr>
            <w:r>
              <w:rPr>
                <w:rFonts w:ascii="Arial" w:cs="Arial" w:eastAsia="Arial" w:hAnsi="Arial"/>
                <w:sz w:val="20"/>
                <w:szCs w:val="20"/>
              </w:rPr>
              <w:t xml:space="preserve">1,129.0</w:t>
            </w:r>
          </w:p>
        </w:tc>
      </w:tr>
      <w:tr>
        <w:tc>
          <w:tcPr>
            <w:tcW w:type="dxa" w:w="1960"/>
            <w:shd w:fill="F7F7F7" w:color="auto" w:val="clear"/>
            <w:tcMar>
              <w:top w:type="dxa" w:w="80"/>
              <w:left w:type="dxa" w:w="120"/>
              <w:bottom w:type="dxa" w:w="80"/>
              <w:right w:type="dxa" w:w="120"/>
            </w:tcMar>
          </w:tcPr>
          <w:p>
            <w:pPr>
              <w:spacing w:after="0" w:line="260"/>
              <w:jc w:val="left"/>
            </w:pPr>
            <w:r>
              <w:rPr>
                <w:rFonts w:ascii="Arial" w:cs="Arial" w:eastAsia="Arial" w:hAnsi="Arial"/>
                <w:sz w:val="20"/>
                <w:szCs w:val="20"/>
              </w:rPr>
              <w:t xml:space="preserve">Free cash flow</w:t>
            </w:r>
          </w:p>
        </w:tc>
        <w:tc>
          <w:tcPr>
            <w:tcW w:type="dxa" w:w="1850"/>
            <w:shd w:fill="F7F7F7" w:color="auto" w:val="clear"/>
            <w:tcMar>
              <w:top w:type="dxa" w:w="80"/>
              <w:left w:type="dxa" w:w="120"/>
              <w:bottom w:type="dxa" w:w="80"/>
              <w:right w:type="dxa" w:w="120"/>
            </w:tcMar>
          </w:tcPr>
          <w:p>
            <w:pPr>
              <w:spacing w:after="0" w:line="260"/>
              <w:jc w:val="right"/>
            </w:pPr>
            <w:r>
              <w:rPr>
                <w:rFonts w:ascii="Arial" w:cs="Arial" w:eastAsia="Arial" w:hAnsi="Arial"/>
                <w:sz w:val="20"/>
                <w:szCs w:val="20"/>
              </w:rPr>
              <w:t xml:space="preserve">558.0</w:t>
            </w:r>
          </w:p>
        </w:tc>
        <w:tc>
          <w:tcPr>
            <w:tcW w:type="dxa" w:w="1850"/>
            <w:shd w:fill="F7F7F7" w:color="auto" w:val="clear"/>
            <w:tcMar>
              <w:top w:type="dxa" w:w="80"/>
              <w:left w:type="dxa" w:w="120"/>
              <w:bottom w:type="dxa" w:w="80"/>
              <w:right w:type="dxa" w:w="120"/>
            </w:tcMar>
          </w:tcPr>
          <w:p>
            <w:pPr>
              <w:spacing w:after="0" w:line="260"/>
              <w:jc w:val="right"/>
            </w:pPr>
            <w:r>
              <w:rPr>
                <w:rFonts w:ascii="Arial" w:cs="Arial" w:eastAsia="Arial" w:hAnsi="Arial"/>
                <w:sz w:val="20"/>
                <w:szCs w:val="20"/>
              </w:rPr>
              <w:t xml:space="preserve">124.0</w:t>
            </w:r>
          </w:p>
        </w:tc>
        <w:tc>
          <w:tcPr>
            <w:tcW w:type="dxa" w:w="1850"/>
            <w:shd w:fill="F7F7F7" w:color="auto" w:val="clear"/>
            <w:tcMar>
              <w:top w:type="dxa" w:w="80"/>
              <w:left w:type="dxa" w:w="120"/>
              <w:bottom w:type="dxa" w:w="80"/>
              <w:right w:type="dxa" w:w="120"/>
            </w:tcMar>
          </w:tcPr>
          <w:p>
            <w:pPr>
              <w:spacing w:after="0" w:line="260"/>
              <w:jc w:val="right"/>
            </w:pPr>
            <w:r>
              <w:rPr>
                <w:rFonts w:ascii="Arial" w:cs="Arial" w:eastAsia="Arial" w:hAnsi="Arial"/>
                <w:sz w:val="20"/>
                <w:szCs w:val="20"/>
              </w:rPr>
              <w:t xml:space="preserve">641.3</w:t>
            </w:r>
          </w:p>
        </w:tc>
        <w:tc>
          <w:tcPr>
            <w:tcW w:type="dxa" w:w="1850"/>
            <w:shd w:fill="F7F7F7" w:color="auto" w:val="clear"/>
            <w:tcMar>
              <w:top w:type="dxa" w:w="80"/>
              <w:left w:type="dxa" w:w="120"/>
              <w:bottom w:type="dxa" w:w="80"/>
              <w:right w:type="dxa" w:w="120"/>
            </w:tcMar>
          </w:tcPr>
          <w:p>
            <w:pPr>
              <w:spacing w:after="0" w:line="260"/>
              <w:jc w:val="right"/>
            </w:pPr>
            <w:r>
              <w:rPr>
                <w:rFonts w:ascii="Arial" w:cs="Arial" w:eastAsia="Arial" w:hAnsi="Arial"/>
                <w:sz w:val="20"/>
                <w:szCs w:val="20"/>
              </w:rPr>
              <w:t xml:space="preserve">1,352.9</w:t>
            </w:r>
          </w:p>
        </w:tc>
      </w:tr>
    </w:tbl>
    <w:p>
      <w:pPr>
        <w:spacing w:after="200" w:line="280"/>
        <w:jc w:val="left"/>
      </w:pPr>
      <w:r>
        <w:rPr>
          <w:rFonts w:ascii="Arial" w:cs="Arial" w:eastAsia="Arial" w:hAnsi="Arial"/>
          <w:sz w:val="18"/>
          <w:szCs w:val="18"/>
        </w:rPr>
        <w:t xml:space="preserve">Sources: FY2021, FY2023 and FY2025 10-Ks. Percentages calculated. Two comparability breaks sit inside this table. First, the estimated average lifetime of a paying user — the divisor that converts bookings into revenue — has been revised four times: 23 months through FY2021, 25 months from the first quarter of 2022, 28 months from the third quarter of 2022, and 27 months from 1 April 2024. The 2022 revision alone reduced FY2022 revenue by $344.9M; the 2024 revision raised FY2024 revenue by $98.0M. Revenue growth across these years is not a clean series. Second, “Adjusted EBITDA” was redefined in the FY2024 10-K: FY2023 was $431.7M on the indenture basis Roblox had been publishing and negative $170.7M on the new basis. The two are not a trend line and should not be drawn as one.</w:t>
      </w:r>
    </w:p>
    <w:p>
      <w:pPr>
        <w:spacing w:after="180" w:before="180"/>
      </w:pPr>
      <w:r>
        <w:rPr>
          <w:rFonts w:ascii="Arial" w:cs="Arial" w:eastAsia="Arial" w:hAnsi="Arial"/>
          <w:b/>
          <w:bCs/>
          <w:color w:val="1F3864"/>
          <w:sz w:val="28"/>
          <w:szCs w:val="28"/>
        </w:rPr>
        <w:t xml:space="preserve">Where the cash has gone</w:t>
      </w:r>
    </w:p>
    <w:p>
      <w:pPr>
        <w:spacing w:after="140" w:line="280"/>
        <w:jc w:val="left"/>
      </w:pPr>
      <w:r>
        <w:rPr>
          <w:rFonts w:ascii="Arial" w:cs="Arial" w:eastAsia="Arial" w:hAnsi="Arial"/>
          <w:sz w:val="22"/>
          <w:szCs w:val="22"/>
        </w:rPr>
        <w:t xml:space="preserve">Ranked by dollars over FY2021 to FY2025, the largest claim on the business was not cash at all. Stock-based compensation of roughly $3,944M exceeded every cash use, and shares outstanding rose from 585.9 million to 708.4 million — 20.9% dilution, close to 5% a year. Capital expenditure came second at roughly $1,461M, spent on servers and data-centre capacity for a platform running more than 150,000 servers across 25 regional data centres. Third was the $1.0bn of 3.875% senior notes due 2030, issued in October 2021 and still outstanding in full; these are straight unsecured notes, not convertibles. Acquisitions totalled roughly $117M. Dividends and buybacks were zero for the whole period.</w:t>
      </w:r>
    </w:p>
    <w:p>
      <w:pPr>
        <w:spacing w:after="140" w:line="280"/>
        <w:jc w:val="left"/>
      </w:pPr>
      <w:r>
        <w:rPr>
          <w:rFonts w:ascii="Arial" w:cs="Arial" w:eastAsia="Arial" w:hAnsi="Arial"/>
          <w:sz w:val="22"/>
          <w:szCs w:val="22"/>
        </w:rPr>
        <w:t xml:space="preserve">What that ranking reveals is a management team that funded growth by issuing equity to employees rather than by spending cash, and that treated the balance sheet as ballast rather than a tool. The company went public by direct listing in March 2021 and so raised nothing at the IPO; the $1bn of notes has never been touched; cash and investments stood at roughly $5.5bn at the end of FY2025 against $1bn of debt.</w:t>
      </w:r>
    </w:p>
    <w:p>
      <w:pPr>
        <w:spacing w:after="140" w:line="280"/>
        <w:jc w:val="left"/>
      </w:pPr>
      <w:r>
        <w:rPr>
          <w:rFonts w:ascii="Arial" w:cs="Arial" w:eastAsia="Arial" w:hAnsi="Arial"/>
          <w:sz w:val="22"/>
          <w:szCs w:val="22"/>
        </w:rPr>
        <w:t xml:space="preserve">Two things post-date the FY2025 10-K and change that picture. On 19 May 2026 the board authorised the company’s first-ever share repurchase — up to $3.0bn, with around $1bn intended over the following twelve months, and the stated rationale being to “partially offset dilution from employee equity grants.” Roblox bought 8.2 million shares for approximately $380M in the June 2026 quarter, leaving $2.6bn authorised (Q2 2026 10-Q). And on 8 June 2026 the creator earnings rate on age-checked adult US spending rose from 26.6% to 37.8%. The first is a decision to return capital in the same year growth slowed; the second commits more of each future dollar to creators. Neither appears in any full-year figure yet reported.</w:t>
      </w:r>
    </w:p>
    <w:p>
      <w:pPr>
        <w:spacing w:after="140" w:line="280"/>
        <w:jc w:val="left"/>
      </w:pPr>
      <w:r>
        <w:rPr>
          <w:rFonts w:ascii="Arial" w:cs="Arial" w:eastAsia="Arial" w:hAnsi="Arial"/>
          <w:sz w:val="22"/>
          <w:szCs w:val="22"/>
        </w:rPr>
        <w:t xml:space="preserve">Incentives point at the metrics the deferral mechanics most flatter. The founder and chief executive took no cash salary in 2025 and holds 100% of the Class B stock, carrying twenty votes a share and 58.8% of total voting power (2026 proxy, down from 65.9% in 2022). His original 2021 award vested only on share-price hurdles from $165 to $375; none was ever reached and the award was cancelled in March 2024. Its replacement, and the awards for the other named executives, vest on cumulative bookings and Covenant Adjusted EBITDA margin — a bookings-based measure that adds back the change in deferred revenue. The targets themselves are not disclosed.</w:t>
      </w:r>
    </w:p>
    <w:p>
      <w:pPr>
        <w:spacing w:after="200" w:before="360"/>
      </w:pPr>
      <w:r>
        <w:br w:type="page"/>
      </w:r>
      <w:r>
        <w:rPr>
          <w:rFonts w:ascii="Arial" w:cs="Arial" w:eastAsia="Arial" w:hAnsi="Arial"/>
          <w:b/>
          <w:bCs/>
          <w:color w:val="1F3864"/>
          <w:sz w:val="32"/>
          <w:szCs w:val="32"/>
        </w:rPr>
        <w:t xml:space="preserve">6. Cyclicality, Constraints and What to Monitor</w:t>
      </w:r>
    </w:p>
    <w:p>
      <w:pPr>
        <w:spacing w:after="140" w:line="280"/>
        <w:jc w:val="left"/>
      </w:pPr>
      <w:r>
        <w:rPr>
          <w:rFonts w:ascii="Arial" w:cs="Arial" w:eastAsia="Arial" w:hAnsi="Arial"/>
          <w:sz w:val="22"/>
          <w:szCs w:val="22"/>
        </w:rPr>
        <w:t xml:space="preserve">Roblox is not a macroeconomic cyclical. Its purchases are small, discretionary and made largely by or for children, and nothing in the filings ties bookings to interest rates, input costs or capital spending elsewhere in the economy. It has two cycles of its own, and both are currently running against it.</w:t>
      </w:r>
    </w:p>
    <w:p>
      <w:pPr>
        <w:spacing w:after="180" w:before="180"/>
      </w:pPr>
      <w:r>
        <w:rPr>
          <w:rFonts w:ascii="Arial" w:cs="Arial" w:eastAsia="Arial" w:hAnsi="Arial"/>
          <w:b/>
          <w:bCs/>
          <w:color w:val="1F3864"/>
          <w:sz w:val="28"/>
          <w:szCs w:val="28"/>
        </w:rPr>
        <w:t xml:space="preserve">Where the business sits right now</w:t>
      </w:r>
    </w:p>
    <w:p>
      <w:pPr>
        <w:spacing w:after="140" w:line="280"/>
        <w:jc w:val="left"/>
      </w:pPr>
      <w:r>
        <w:rPr>
          <w:rFonts w:ascii="Arial" w:cs="Arial" w:eastAsia="Arial" w:hAnsi="Arial"/>
          <w:sz w:val="22"/>
          <w:szCs w:val="22"/>
        </w:rPr>
        <w:t xml:space="preserve">It sits past a peak on every engagement measure. Daily users peaked at 151.5 million in the September 2025 quarter and were 123 million in the June 2026 quarter, 18.8% below. Hours engaged peaked at 39.6 billion and were 29 billion, 26.8% below. Bookings peaked at $2,222.3M in the December 2025 quarter and were $1,557M, 29.9% below (quarterly figures from shareholder letters and press releases; percentages calculated). Some of that is seasonal — the September quarter carries school holidays and the December quarter carries gift spending — which is why the year-on-year comparison matters more: users were still up 10% and bookings up 8% in the June 2026 quarter. The guided decline for the September 2026 quarter is the first year-on-year fall in bookings the company has ever put in an outlook.</w:t>
      </w:r>
    </w:p>
    <w:p>
      <w:pPr>
        <w:spacing w:after="140" w:line="280"/>
        <w:jc w:val="left"/>
      </w:pPr>
      <w:r>
        <w:rPr>
          <w:rFonts w:ascii="Arial" w:cs="Arial" w:eastAsia="Arial" w:hAnsi="Arial"/>
          <w:sz w:val="22"/>
          <w:szCs w:val="22"/>
        </w:rPr>
        <w:t xml:space="preserve">Margin is at the opposite extreme. Free cash flow rose 66% year on year in the June 2026 quarter and adjusted EBITDA reached $152M against $18M a year earlier, both on cost discipline and the timing of cash collection rather than on growth. That divergence is the tell: record cash generation reported in the same quarter that engagement fell for the third consecutive time. The September 2026 quarter is guided to free cash flow between negative $60M and positive $5M.</w:t>
      </w:r>
    </w:p>
    <w:p>
      <w:pPr>
        <w:spacing w:after="180" w:before="180"/>
      </w:pPr>
      <w:r>
        <w:rPr>
          <w:rFonts w:ascii="Arial" w:cs="Arial" w:eastAsia="Arial" w:hAnsi="Arial"/>
          <w:b/>
          <w:bCs/>
          <w:color w:val="1F3864"/>
          <w:sz w:val="28"/>
          <w:szCs w:val="28"/>
        </w:rPr>
        <w:t xml:space="preserve">The constraint that is actually binding</w:t>
      </w:r>
    </w:p>
    <w:p>
      <w:pPr>
        <w:spacing w:after="140" w:line="280"/>
        <w:jc w:val="left"/>
      </w:pPr>
      <w:r>
        <w:rPr>
          <w:rFonts w:ascii="Arial" w:cs="Arial" w:eastAsia="Arial" w:hAnsi="Arial"/>
          <w:sz w:val="22"/>
          <w:szCs w:val="22"/>
        </w:rPr>
        <w:t xml:space="preserve">Age assurance changes the shape of the funnel. Roblox began requiring facial age estimation for chat in November 2025 and made it mandatory globally in January 2026, sorting users into six age bands and severing communication between minors and adults outside verified connections. Penetration reached 51% of daily users by the March 2026 quarter and 57% by June, with the United States and Australia above 70% and a stated target of 90%. Management attributed the March-quarter deceleration to “greater-than-expected headwinds from our age-check roll out, which restricted on-platform communication for non-age checked users… and slowed new user acquisition,” and attributed the June-quarter bookings shortfall to “a decline in per hour monetization most notably with younger cohorts in the U.S. and Canada.”</w:t>
      </w:r>
    </w:p>
    <w:p>
      <w:pPr>
        <w:spacing w:after="140" w:line="280"/>
        <w:jc w:val="left"/>
      </w:pPr>
      <w:r>
        <w:rPr>
          <w:rFonts w:ascii="Arial" w:cs="Arial" w:eastAsia="Arial" w:hAnsi="Arial"/>
          <w:sz w:val="22"/>
          <w:szCs w:val="22"/>
        </w:rPr>
        <w:t xml:space="preserve">Independent evidence says this is not a one-quarter adjustment. Ofcom’s July 2026 report on age assurance found that services which deployed age checks in July 2025 saw average daily visitors fall sharply, while ten of seventeen non-compliant services saw traffic rise — and that the proportion of children encountering harmful content was unchanged. Friction lands on the compliant. Roblox is choosing to be compliant, in a market where the remaining 33 percentage points of age-check penetration are the users least likely to complete a check.</w:t>
      </w:r>
    </w:p>
    <w:p>
      <w:pPr>
        <w:spacing w:after="180" w:before="180"/>
      </w:pPr>
      <w:r>
        <w:rPr>
          <w:rFonts w:ascii="Arial" w:cs="Arial" w:eastAsia="Arial" w:hAnsi="Arial"/>
          <w:b/>
          <w:bCs/>
          <w:color w:val="1F3864"/>
          <w:sz w:val="28"/>
          <w:szCs w:val="28"/>
        </w:rPr>
        <w:t xml:space="preserve">Durable versus borrowed</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4680"/>
        <w:gridCol w:w="4680"/>
      </w:tblGrid>
      <w:tr>
        <w:tc>
          <w:tcPr>
            <w:tcW w:type="dxa" w:w="4680"/>
            <w:shd w:fill="EDF0F7"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Durable — likely still true in ten years</w:t>
            </w:r>
          </w:p>
        </w:tc>
        <w:tc>
          <w:tcPr>
            <w:tcW w:type="dxa" w:w="4680"/>
            <w:shd w:fill="EDF0F7"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Borrowed — currently helping, and will stop</w:t>
            </w:r>
          </w:p>
        </w:tc>
      </w:tr>
      <w:tr>
        <w:tc>
          <w:tcPr>
            <w:tcW w:type="dxa" w:w="4680"/>
            <w:tcMar>
              <w:top w:type="dxa" w:w="80"/>
              <w:left w:type="dxa" w:w="120"/>
              <w:bottom w:type="dxa" w:w="80"/>
              <w:right w:type="dxa" w:w="120"/>
            </w:tcMar>
          </w:tcPr>
          <w:p>
            <w:pPr>
              <w:spacing w:after="0" w:line="260"/>
              <w:jc w:val="left"/>
            </w:pPr>
            <w:r>
              <w:rPr>
                <w:rFonts w:ascii="Arial" w:cs="Arial" w:eastAsia="Arial" w:hAnsi="Arial"/>
                <w:sz w:val="20"/>
                <w:szCs w:val="20"/>
              </w:rPr>
              <w:t xml:space="preserve">A paid creator base of 23,500+ receiving $1.5bn a year, which no cold-start rival has reproduced</w:t>
            </w:r>
          </w:p>
        </w:tc>
        <w:tc>
          <w:tcPr>
            <w:tcW w:type="dxa" w:w="4680"/>
            <w:tcMar>
              <w:top w:type="dxa" w:w="80"/>
              <w:left w:type="dxa" w:w="120"/>
              <w:bottom w:type="dxa" w:w="80"/>
              <w:right w:type="dxa" w:w="120"/>
            </w:tcMar>
          </w:tcPr>
          <w:p>
            <w:pPr>
              <w:spacing w:after="0" w:line="260"/>
              <w:jc w:val="left"/>
            </w:pPr>
            <w:r>
              <w:rPr>
                <w:rFonts w:ascii="Arial" w:cs="Arial" w:eastAsia="Arial" w:hAnsi="Arial"/>
                <w:sz w:val="20"/>
                <w:szCs w:val="20"/>
              </w:rPr>
              <w:t xml:space="preserve">The 27-month recognition lag, which is currently reporting 2024 growth as 2026 revenue</w:t>
            </w:r>
          </w:p>
        </w:tc>
      </w:tr>
      <w:tr>
        <w:tc>
          <w:tcPr>
            <w:tcW w:type="dxa" w:w="4680"/>
            <w:shd w:fill="F7F7F7" w:color="auto" w:val="clear"/>
            <w:tcMar>
              <w:top w:type="dxa" w:w="80"/>
              <w:left w:type="dxa" w:w="120"/>
              <w:bottom w:type="dxa" w:w="80"/>
              <w:right w:type="dxa" w:w="120"/>
            </w:tcMar>
          </w:tcPr>
          <w:p>
            <w:pPr>
              <w:spacing w:after="0" w:line="260"/>
              <w:jc w:val="left"/>
            </w:pPr>
            <w:r>
              <w:rPr>
                <w:rFonts w:ascii="Arial" w:cs="Arial" w:eastAsia="Arial" w:hAnsi="Arial"/>
                <w:sz w:val="20"/>
                <w:szCs w:val="20"/>
              </w:rPr>
              <w:t xml:space="preserve">14 million+ active experiences and the youth social graph that makes them findable</w:t>
            </w:r>
          </w:p>
        </w:tc>
        <w:tc>
          <w:tcPr>
            <w:tcW w:type="dxa" w:w="4680"/>
            <w:shd w:fill="F7F7F7" w:color="auto" w:val="clear"/>
            <w:tcMar>
              <w:top w:type="dxa" w:w="80"/>
              <w:left w:type="dxa" w:w="120"/>
              <w:bottom w:type="dxa" w:w="80"/>
              <w:right w:type="dxa" w:w="120"/>
            </w:tcMar>
          </w:tcPr>
          <w:p>
            <w:pPr>
              <w:spacing w:after="0" w:line="260"/>
              <w:jc w:val="left"/>
            </w:pPr>
            <w:r>
              <w:rPr>
                <w:rFonts w:ascii="Arial" w:cs="Arial" w:eastAsia="Arial" w:hAnsi="Arial"/>
                <w:sz w:val="20"/>
                <w:szCs w:val="20"/>
              </w:rPr>
              <w:t xml:space="preserve">The September 2025 engagement step-up, which becomes the base the next four quarters are measured against</w:t>
            </w:r>
          </w:p>
        </w:tc>
      </w:tr>
      <w:tr>
        <w:tc>
          <w:tcPr>
            <w:tcW w:type="dxa" w:w="4680"/>
            <w:tcMar>
              <w:top w:type="dxa" w:w="80"/>
              <w:left w:type="dxa" w:w="120"/>
              <w:bottom w:type="dxa" w:w="80"/>
              <w:right w:type="dxa" w:w="120"/>
            </w:tcMar>
          </w:tcPr>
          <w:p>
            <w:pPr>
              <w:spacing w:after="0" w:line="260"/>
              <w:jc w:val="left"/>
            </w:pPr>
            <w:r>
              <w:rPr>
                <w:rFonts w:ascii="Arial" w:cs="Arial" w:eastAsia="Arial" w:hAnsi="Arial"/>
                <w:sz w:val="20"/>
                <w:szCs w:val="20"/>
              </w:rPr>
              <w:t xml:space="preserve">Moderation and age-assurance infrastructure that regulation has turned into a barrier to entry</w:t>
            </w:r>
          </w:p>
        </w:tc>
        <w:tc>
          <w:tcPr>
            <w:tcW w:type="dxa" w:w="4680"/>
            <w:tcMar>
              <w:top w:type="dxa" w:w="80"/>
              <w:left w:type="dxa" w:w="120"/>
              <w:bottom w:type="dxa" w:w="80"/>
              <w:right w:type="dxa" w:w="120"/>
            </w:tcMar>
          </w:tcPr>
          <w:p>
            <w:pPr>
              <w:spacing w:after="0" w:line="260"/>
              <w:jc w:val="left"/>
            </w:pPr>
            <w:r>
              <w:rPr>
                <w:rFonts w:ascii="Arial" w:cs="Arial" w:eastAsia="Arial" w:hAnsi="Arial"/>
                <w:sz w:val="20"/>
                <w:szCs w:val="20"/>
              </w:rPr>
              <w:t xml:space="preserve">Free cash flow at cycle highs on collection timing and cost restraint, guided to roughly zero next quarter</w:t>
            </w:r>
          </w:p>
        </w:tc>
      </w:tr>
      <w:tr>
        <w:tc>
          <w:tcPr>
            <w:tcW w:type="dxa" w:w="4680"/>
            <w:shd w:fill="F7F7F7" w:color="auto" w:val="clear"/>
            <w:tcMar>
              <w:top w:type="dxa" w:w="80"/>
              <w:left w:type="dxa" w:w="120"/>
              <w:bottom w:type="dxa" w:w="80"/>
              <w:right w:type="dxa" w:w="120"/>
            </w:tcMar>
          </w:tcPr>
          <w:p>
            <w:pPr>
              <w:spacing w:after="0" w:line="260"/>
              <w:jc w:val="left"/>
            </w:pPr>
            <w:r>
              <w:rPr>
                <w:rFonts w:ascii="Arial" w:cs="Arial" w:eastAsia="Arial" w:hAnsi="Arial"/>
                <w:sz w:val="20"/>
                <w:szCs w:val="20"/>
              </w:rPr>
              <w:t xml:space="preserve">$6.1bn of cash and investments against $1.0bn of unsecured notes not due until 2030</w:t>
            </w:r>
          </w:p>
        </w:tc>
        <w:tc>
          <w:tcPr>
            <w:tcW w:type="dxa" w:w="4680"/>
            <w:shd w:fill="F7F7F7" w:color="auto" w:val="clear"/>
            <w:tcMar>
              <w:top w:type="dxa" w:w="80"/>
              <w:left w:type="dxa" w:w="120"/>
              <w:bottom w:type="dxa" w:w="80"/>
              <w:right w:type="dxa" w:w="120"/>
            </w:tcMar>
          </w:tcPr>
          <w:p>
            <w:pPr>
              <w:spacing w:after="0" w:line="260"/>
              <w:jc w:val="left"/>
            </w:pPr>
            <w:r>
              <w:rPr>
                <w:rFonts w:ascii="Arial" w:cs="Arial" w:eastAsia="Arial" w:hAnsi="Arial"/>
                <w:sz w:val="20"/>
                <w:szCs w:val="20"/>
              </w:rPr>
              <w:t xml:space="preserve">The Russian market, blocked in December 2025 and reinstated in June 2026, flattering forward comparisons</w:t>
            </w:r>
          </w:p>
        </w:tc>
      </w:tr>
      <w:tr>
        <w:tc>
          <w:tcPr>
            <w:tcW w:type="dxa" w:w="4680"/>
            <w:tcMar>
              <w:top w:type="dxa" w:w="80"/>
              <w:left w:type="dxa" w:w="120"/>
              <w:bottom w:type="dxa" w:w="80"/>
              <w:right w:type="dxa" w:w="120"/>
            </w:tcMar>
          </w:tcPr>
          <w:p>
            <w:pPr>
              <w:spacing w:after="0" w:line="260"/>
              <w:jc w:val="left"/>
            </w:pPr>
            <w:r>
              <w:rPr>
                <w:rFonts w:ascii="Arial" w:cs="Arial" w:eastAsia="Arial" w:hAnsi="Arial"/>
                <w:sz w:val="20"/>
                <w:szCs w:val="20"/>
              </w:rPr>
              <w:t xml:space="preserve">An engine and toolchain given away free, which keeps content supply cheap</w:t>
            </w:r>
          </w:p>
        </w:tc>
        <w:tc>
          <w:tcPr>
            <w:tcW w:type="dxa" w:w="4680"/>
            <w:tcMar>
              <w:top w:type="dxa" w:w="80"/>
              <w:left w:type="dxa" w:w="120"/>
              <w:bottom w:type="dxa" w:w="80"/>
              <w:right w:type="dxa" w:w="120"/>
            </w:tcMar>
          </w:tcPr>
          <w:p>
            <w:pPr>
              <w:spacing w:after="0" w:line="260"/>
              <w:jc w:val="left"/>
            </w:pPr>
            <w:r>
              <w:rPr>
                <w:rFonts w:ascii="Arial" w:cs="Arial" w:eastAsia="Arial" w:hAnsi="Arial"/>
                <w:sz w:val="20"/>
                <w:szCs w:val="20"/>
              </w:rPr>
              <w:t xml:space="preserve">A creator payout rate that was raised sharply in June 2026 and has never once gone down</w:t>
            </w:r>
          </w:p>
        </w:tc>
      </w:tr>
    </w:tbl>
    <w:p>
      <w:pPr>
        <w:spacing w:after="180" w:before="180"/>
      </w:pPr>
      <w:r>
        <w:rPr>
          <w:rFonts w:ascii="Arial" w:cs="Arial" w:eastAsia="Arial" w:hAnsi="Arial"/>
          <w:b/>
          <w:bCs/>
          <w:color w:val="1F3864"/>
          <w:sz w:val="28"/>
          <w:szCs w:val="28"/>
        </w:rPr>
        <w:t xml:space="preserve">Leading indicators, and where they are published</w:t>
      </w:r>
    </w:p>
    <w:p>
      <w:pPr>
        <w:pStyle w:val="ListParagraph"/>
        <w:numPr>
          <w:ilvl w:val="0"/>
          <w:numId w:val="2"/>
        </w:numPr>
        <w:spacing w:after="110" w:line="280"/>
      </w:pPr>
      <w:r>
        <w:rPr>
          <w:rFonts w:ascii="Arial" w:cs="Arial" w:eastAsia="Arial" w:hAnsi="Arial"/>
          <w:b/>
          <w:bCs/>
          <w:sz w:val="22"/>
          <w:szCs w:val="22"/>
        </w:rPr>
        <w:t xml:space="preserve">Quarterly bookings growth and bookings per daily user </w:t>
      </w:r>
      <w:r>
        <w:rPr>
          <w:rFonts w:ascii="Arial" w:cs="Arial" w:eastAsia="Arial" w:hAnsi="Arial"/>
          <w:sz w:val="22"/>
          <w:szCs w:val="22"/>
        </w:rPr>
        <w:t xml:space="preserve">— quarterly shareholder letter, Roblox investor relations. Bookings lead reported revenue by roughly two years.</w:t>
      </w:r>
    </w:p>
    <w:p>
      <w:pPr>
        <w:pStyle w:val="ListParagraph"/>
        <w:numPr>
          <w:ilvl w:val="0"/>
          <w:numId w:val="2"/>
        </w:numPr>
        <w:spacing w:after="110" w:line="280"/>
      </w:pPr>
      <w:r>
        <w:rPr>
          <w:rFonts w:ascii="Arial" w:cs="Arial" w:eastAsia="Arial" w:hAnsi="Arial"/>
          <w:b/>
          <w:bCs/>
          <w:sz w:val="22"/>
          <w:szCs w:val="22"/>
        </w:rPr>
        <w:t xml:space="preserve">Age-check penetration as a percentage of daily users </w:t>
      </w:r>
      <w:r>
        <w:rPr>
          <w:rFonts w:ascii="Arial" w:cs="Arial" w:eastAsia="Arial" w:hAnsi="Arial"/>
          <w:sz w:val="22"/>
          <w:szCs w:val="22"/>
        </w:rPr>
        <w:t xml:space="preserve">— quarterly shareholder letter. The gap between 57% and the 90% target is where the remaining friction sits.</w:t>
      </w:r>
    </w:p>
    <w:p>
      <w:pPr>
        <w:pStyle w:val="ListParagraph"/>
        <w:numPr>
          <w:ilvl w:val="0"/>
          <w:numId w:val="2"/>
        </w:numPr>
        <w:spacing w:after="110" w:line="280"/>
      </w:pPr>
      <w:r>
        <w:rPr>
          <w:rFonts w:ascii="Arial" w:cs="Arial" w:eastAsia="Arial" w:hAnsi="Arial"/>
          <w:b/>
          <w:bCs/>
          <w:sz w:val="22"/>
          <w:szCs w:val="22"/>
        </w:rPr>
        <w:t xml:space="preserve">Developer exchange fees as a percentage of bookings </w:t>
      </w:r>
      <w:r>
        <w:rPr>
          <w:rFonts w:ascii="Arial" w:cs="Arial" w:eastAsia="Arial" w:hAnsi="Arial"/>
          <w:sz w:val="22"/>
          <w:szCs w:val="22"/>
        </w:rPr>
        <w:t xml:space="preserve">— the income statement in each 10-Q and 10-K. Has risen every year since FY2019.</w:t>
      </w:r>
    </w:p>
    <w:p>
      <w:pPr>
        <w:pStyle w:val="ListParagraph"/>
        <w:numPr>
          <w:ilvl w:val="0"/>
          <w:numId w:val="2"/>
        </w:numPr>
        <w:spacing w:after="110" w:line="280"/>
      </w:pPr>
      <w:r>
        <w:rPr>
          <w:rFonts w:ascii="Arial" w:cs="Arial" w:eastAsia="Arial" w:hAnsi="Arial"/>
          <w:b/>
          <w:bCs/>
          <w:sz w:val="22"/>
          <w:szCs w:val="22"/>
        </w:rPr>
        <w:t xml:space="preserve">Hours per daily user </w:t>
      </w:r>
      <w:r>
        <w:rPr>
          <w:rFonts w:ascii="Arial" w:cs="Arial" w:eastAsia="Arial" w:hAnsi="Arial"/>
          <w:sz w:val="22"/>
          <w:szCs w:val="22"/>
        </w:rPr>
        <w:t xml:space="preserve">— derived from the shareholder letter. Fell about 4.5% year on year in the June 2026 quarter (calculated), the first sign of a thinning rather than merely a slower-growing base.</w:t>
      </w:r>
    </w:p>
    <w:p>
      <w:pPr>
        <w:pStyle w:val="ListParagraph"/>
        <w:numPr>
          <w:ilvl w:val="0"/>
          <w:numId w:val="2"/>
        </w:numPr>
        <w:spacing w:after="110" w:line="280"/>
      </w:pPr>
      <w:r>
        <w:rPr>
          <w:rFonts w:ascii="Arial" w:cs="Arial" w:eastAsia="Arial" w:hAnsi="Arial"/>
          <w:b/>
          <w:bCs/>
          <w:sz w:val="22"/>
          <w:szCs w:val="22"/>
        </w:rPr>
        <w:t xml:space="preserve">State settlement accruals and the list of unresolved suits </w:t>
      </w:r>
      <w:r>
        <w:rPr>
          <w:rFonts w:ascii="Arial" w:cs="Arial" w:eastAsia="Arial" w:hAnsi="Arial"/>
          <w:sz w:val="22"/>
          <w:szCs w:val="22"/>
        </w:rPr>
        <w:t xml:space="preserve">— the contingencies note in each 10-Q.</w:t>
      </w:r>
    </w:p>
    <w:p>
      <w:pPr>
        <w:pStyle w:val="ListParagraph"/>
        <w:numPr>
          <w:ilvl w:val="0"/>
          <w:numId w:val="2"/>
        </w:numPr>
        <w:spacing w:after="110" w:line="280"/>
      </w:pPr>
      <w:r>
        <w:rPr>
          <w:rFonts w:ascii="Arial" w:cs="Arial" w:eastAsia="Arial" w:hAnsi="Arial"/>
          <w:b/>
          <w:bCs/>
          <w:sz w:val="22"/>
          <w:szCs w:val="22"/>
        </w:rPr>
        <w:t xml:space="preserve">The US external-purchase-link commission ruling </w:t>
      </w:r>
      <w:r>
        <w:rPr>
          <w:rFonts w:ascii="Arial" w:cs="Arial" w:eastAsia="Arial" w:hAnsi="Arial"/>
          <w:sz w:val="22"/>
          <w:szCs w:val="22"/>
        </w:rPr>
        <w:t xml:space="preserve">— the Epic v. Apple docket in the Northern District of California. Determines the distribution toll.</w:t>
      </w:r>
    </w:p>
    <w:p>
      <w:pPr>
        <w:spacing w:after="200" w:before="360"/>
      </w:pPr>
      <w:r>
        <w:br w:type="page"/>
      </w:r>
      <w:r>
        <w:rPr>
          <w:rFonts w:ascii="Arial" w:cs="Arial" w:eastAsia="Arial" w:hAnsi="Arial"/>
          <w:b/>
          <w:bCs/>
          <w:color w:val="1F3864"/>
          <w:sz w:val="32"/>
          <w:szCs w:val="32"/>
        </w:rPr>
        <w:t xml:space="preserve">7. Risks, Unknowns and Questions for Deeper Work</w:t>
      </w:r>
    </w:p>
    <w:p>
      <w:pPr>
        <w:spacing w:after="140" w:line="280"/>
        <w:jc w:val="left"/>
      </w:pPr>
      <w:r>
        <w:rPr>
          <w:rFonts w:ascii="Arial" w:cs="Arial" w:eastAsia="Arial" w:hAnsi="Arial"/>
          <w:sz w:val="22"/>
          <w:szCs w:val="22"/>
        </w:rPr>
        <w:t xml:space="preserve">The cyclical and engagement risks are covered above. What follows is what those do not capture: risks that compound, and questions the sources could not answer.</w:t>
      </w:r>
    </w:p>
    <w:p>
      <w:pPr>
        <w:pStyle w:val="ListParagraph"/>
        <w:numPr>
          <w:ilvl w:val="0"/>
          <w:numId w:val="2"/>
        </w:numPr>
        <w:spacing w:after="110" w:line="280"/>
      </w:pPr>
      <w:r>
        <w:rPr>
          <w:rFonts w:ascii="Arial" w:cs="Arial" w:eastAsia="Arial" w:hAnsi="Arial"/>
          <w:b/>
          <w:bCs/>
          <w:sz w:val="22"/>
          <w:szCs w:val="22"/>
        </w:rPr>
        <w:t xml:space="preserve">Settlement costs are not capped by the settlements already reached. </w:t>
      </w:r>
      <w:r>
        <w:rPr>
          <w:rFonts w:ascii="Arial" w:cs="Arial" w:eastAsia="Arial" w:hAnsi="Arial"/>
          <w:sz w:val="22"/>
          <w:szCs w:val="22"/>
        </w:rPr>
        <w:t xml:space="preserve">Roblox has settled with five states — Alabama for $12.2M, West Virginia for $11.08M and South Dakota for roughly $10M, with Mississippi and Nevada undisclosed — and accrued $91M in the first half of 2026. The Alabama agreement contains a most-favoured-nation clause binding Roblox to give Alabama any better terms it later concedes to another state. Eleven states plus Los Angeles County remain unresolved, so each future settlement ratchets the terms of the settled ones backwards.</w:t>
      </w:r>
    </w:p>
    <w:p>
      <w:pPr>
        <w:pStyle w:val="ListParagraph"/>
        <w:numPr>
          <w:ilvl w:val="0"/>
          <w:numId w:val="2"/>
        </w:numPr>
        <w:spacing w:after="110" w:line="280"/>
      </w:pPr>
      <w:r>
        <w:rPr>
          <w:rFonts w:ascii="Arial" w:cs="Arial" w:eastAsia="Arial" w:hAnsi="Arial"/>
          <w:b/>
          <w:bCs/>
          <w:sz w:val="22"/>
          <w:szCs w:val="22"/>
        </w:rPr>
        <w:t xml:space="preserve">The child-safety mass tort is consolidating, not dispersing. </w:t>
      </w:r>
      <w:r>
        <w:rPr>
          <w:rFonts w:ascii="Arial" w:cs="Arial" w:eastAsia="Arial" w:hAnsi="Arial"/>
          <w:sz w:val="22"/>
          <w:szCs w:val="22"/>
        </w:rPr>
        <w:t xml:space="preserve">The Judicial Panel on Multidistrict Litigation created MDL No. 3166 in December 2025, centralising 31 actions plus 48 tag-alongs before the Chief Judge of the Northern District of California; a tracker put the count at roughly 182 cases by September 2026, a figure from a secondary source and therefore indicative only. Consolidation converts individually survivable claims into a single event with one set of rulings on the Section 230 and First Amendment defences the whole docket depends on.</w:t>
      </w:r>
    </w:p>
    <w:p>
      <w:pPr>
        <w:pStyle w:val="ListParagraph"/>
        <w:numPr>
          <w:ilvl w:val="0"/>
          <w:numId w:val="2"/>
        </w:numPr>
        <w:spacing w:after="110" w:line="280"/>
      </w:pPr>
      <w:r>
        <w:rPr>
          <w:rFonts w:ascii="Arial" w:cs="Arial" w:eastAsia="Arial" w:hAnsi="Arial"/>
          <w:b/>
          <w:bCs/>
          <w:sz w:val="22"/>
          <w:szCs w:val="22"/>
        </w:rPr>
        <w:t xml:space="preserve">Two regulators can now reach the whole business at once. </w:t>
      </w:r>
      <w:r>
        <w:rPr>
          <w:rFonts w:ascii="Arial" w:cs="Arial" w:eastAsia="Arial" w:hAnsi="Arial"/>
          <w:sz w:val="22"/>
          <w:szCs w:val="22"/>
        </w:rPr>
        <w:t xml:space="preserve">The European Commission designated Roblox a Very Large Online Platform on 31 August 2026, with systemic-risk obligations biting from around January 2027 and the Dutch competition authority already running a separate DSA investigation opened in January 2026 into minor safeguards and dark patterns in purchase flows. The UK Online Safety Act carries penalties of up to 10% of worldwide revenue, and Ofcom has had Roblox in its named group of most-used children’s services since March 2026. These are not fines-shaped risks so much as product-shaped ones: each remedy changes the funnel.</w:t>
      </w:r>
    </w:p>
    <w:p>
      <w:pPr>
        <w:pStyle w:val="ListParagraph"/>
        <w:numPr>
          <w:ilvl w:val="0"/>
          <w:numId w:val="2"/>
        </w:numPr>
        <w:spacing w:after="110" w:line="280"/>
      </w:pPr>
      <w:r>
        <w:rPr>
          <w:rFonts w:ascii="Arial" w:cs="Arial" w:eastAsia="Arial" w:hAnsi="Arial"/>
          <w:b/>
          <w:bCs/>
          <w:sz w:val="22"/>
          <w:szCs w:val="22"/>
        </w:rPr>
        <w:t xml:space="preserve">The amended COPPA rule reaches the safety fix itself. </w:t>
      </w:r>
      <w:r>
        <w:rPr>
          <w:rFonts w:ascii="Arial" w:cs="Arial" w:eastAsia="Arial" w:hAnsi="Arial"/>
          <w:sz w:val="22"/>
          <w:szCs w:val="22"/>
        </w:rPr>
        <w:t xml:space="preserve">From 22 April 2026 the FTC’s amended rule adds biometric identifiers to the definition of personal information requiring verifiable parental consent — which is precisely what facial age estimation collects. The remedy Roblox is deploying to satisfy state attorneys general sits inside the category the federal rule now restricts.</w:t>
      </w:r>
    </w:p>
    <w:p>
      <w:pPr>
        <w:pStyle w:val="ListParagraph"/>
        <w:numPr>
          <w:ilvl w:val="0"/>
          <w:numId w:val="2"/>
        </w:numPr>
        <w:spacing w:after="110" w:line="280"/>
      </w:pPr>
      <w:r>
        <w:rPr>
          <w:rFonts w:ascii="Arial" w:cs="Arial" w:eastAsia="Arial" w:hAnsi="Arial"/>
          <w:b/>
          <w:bCs/>
          <w:sz w:val="22"/>
          <w:szCs w:val="22"/>
        </w:rPr>
        <w:t xml:space="preserve">The creator payout ratchets in one direction only. </w:t>
      </w:r>
      <w:r>
        <w:rPr>
          <w:rFonts w:ascii="Arial" w:cs="Arial" w:eastAsia="Arial" w:hAnsi="Arial"/>
          <w:sz w:val="22"/>
          <w:szCs w:val="22"/>
        </w:rPr>
        <w:t xml:space="preserve">Roblox has raised the cash-out rate or the effective share four times since 2022 and lowered it never, and the largest increase came in June 2026 during a slowdown rather than a boom. Creator supply is mobile, the competing pool is funded by a private company under no obligation to earn a return on it, and every point conceded is permanent. A cost line that only moves up sits directly against a monetisation curve that has not moved for four years.</w:t>
      </w:r>
    </w:p>
    <w:p>
      <w:pPr>
        <w:pStyle w:val="ListParagraph"/>
        <w:numPr>
          <w:ilvl w:val="0"/>
          <w:numId w:val="2"/>
        </w:numPr>
        <w:spacing w:after="110" w:line="280"/>
      </w:pPr>
      <w:r>
        <w:rPr>
          <w:rFonts w:ascii="Arial" w:cs="Arial" w:eastAsia="Arial" w:hAnsi="Arial"/>
          <w:b/>
          <w:bCs/>
          <w:sz w:val="22"/>
          <w:szCs w:val="22"/>
        </w:rPr>
        <w:t xml:space="preserve">The recognition lag will run in reverse. </w:t>
      </w:r>
      <w:r>
        <w:rPr>
          <w:rFonts w:ascii="Arial" w:cs="Arial" w:eastAsia="Arial" w:hAnsi="Arial"/>
          <w:sz w:val="22"/>
          <w:szCs w:val="22"/>
        </w:rPr>
        <w:t xml:space="preserve">Revenue currently grows four times faster than bookings because it is delivering the past. If bookings decline for several quarters, the same mechanism will report shrinking revenue long after bookings have stabilised. The company has not quantified this effect in either direction, and no filing gives the vintage composition of the deferred balance.</w:t>
      </w:r>
    </w:p>
    <w:p>
      <w:pPr>
        <w:pStyle w:val="ListParagraph"/>
        <w:numPr>
          <w:ilvl w:val="0"/>
          <w:numId w:val="2"/>
        </w:numPr>
        <w:spacing w:after="110" w:line="280"/>
      </w:pPr>
      <w:r>
        <w:rPr>
          <w:rFonts w:ascii="Arial" w:cs="Arial" w:eastAsia="Arial" w:hAnsi="Arial"/>
          <w:b/>
          <w:bCs/>
          <w:sz w:val="22"/>
          <w:szCs w:val="22"/>
        </w:rPr>
        <w:t xml:space="preserve">There is no external mechanism to change the strategy or the yardstick. </w:t>
      </w:r>
      <w:r>
        <w:rPr>
          <w:rFonts w:ascii="Arial" w:cs="Arial" w:eastAsia="Arial" w:hAnsi="Arial"/>
          <w:sz w:val="22"/>
          <w:szCs w:val="22"/>
        </w:rPr>
        <w:t xml:space="preserve">The founder’s 58.8% voting position means shareholders cannot force a change of course, replace the board, or contest the undisclosed performance targets against which the executive team is paid. Where the operating metrics and the incentive metrics are chosen by the same person who cannot be outvoted, the ordinary correction mechanism for a strategy that stops working is absent.</w:t>
      </w:r>
    </w:p>
    <w:p>
      <w:pPr>
        <w:spacing w:after="180" w:before="180"/>
      </w:pPr>
      <w:r>
        <w:rPr>
          <w:rFonts w:ascii="Arial" w:cs="Arial" w:eastAsia="Arial" w:hAnsi="Arial"/>
          <w:b/>
          <w:bCs/>
          <w:color w:val="1F3864"/>
          <w:sz w:val="28"/>
          <w:szCs w:val="28"/>
        </w:rPr>
        <w:t xml:space="preserve">What the sources could not answer</w:t>
      </w:r>
    </w:p>
    <w:p>
      <w:pPr>
        <w:pStyle w:val="ListParagraph"/>
        <w:numPr>
          <w:ilvl w:val="0"/>
          <w:numId w:val="2"/>
        </w:numPr>
        <w:spacing w:after="110" w:line="280"/>
      </w:pPr>
      <w:r>
        <w:rPr>
          <w:rFonts w:ascii="Arial" w:cs="Arial" w:eastAsia="Arial" w:hAnsi="Arial"/>
          <w:sz w:val="22"/>
          <w:szCs w:val="22"/>
        </w:rPr>
        <w:t xml:space="preserve">The share of daily users under 13 — the single most decision-relevant number for regulatory exposure, disclosed at the IPO and in FY2021 and absent from the FY2025 10-K.</w:t>
      </w:r>
    </w:p>
    <w:p>
      <w:pPr>
        <w:pStyle w:val="ListParagraph"/>
        <w:numPr>
          <w:ilvl w:val="0"/>
          <w:numId w:val="2"/>
        </w:numPr>
        <w:spacing w:after="110" w:line="280"/>
      </w:pPr>
      <w:r>
        <w:rPr>
          <w:rFonts w:ascii="Arial" w:cs="Arial" w:eastAsia="Arial" w:hAnsi="Arial"/>
          <w:sz w:val="22"/>
          <w:szCs w:val="22"/>
        </w:rPr>
        <w:t xml:space="preserve">The concentration of engagement across experiences. The FY2025 10-K charts the top thousand experiences but discloses no numeric concentration. Without it, there is no way to size how much of the September 2025 step-up rested on one or two titles.</w:t>
      </w:r>
    </w:p>
    <w:p>
      <w:pPr>
        <w:pStyle w:val="ListParagraph"/>
        <w:numPr>
          <w:ilvl w:val="0"/>
          <w:numId w:val="2"/>
        </w:numPr>
        <w:spacing w:after="110" w:line="280"/>
      </w:pPr>
      <w:r>
        <w:rPr>
          <w:rFonts w:ascii="Arial" w:cs="Arial" w:eastAsia="Arial" w:hAnsi="Arial"/>
          <w:sz w:val="22"/>
          <w:szCs w:val="22"/>
        </w:rPr>
        <w:t xml:space="preserve">Advertising and licensing revenue in dollars. Described as “insignificant” and never quantified, so the growth narrative around advertising cannot be tested against anything.</w:t>
      </w:r>
    </w:p>
    <w:p>
      <w:pPr>
        <w:pStyle w:val="ListParagraph"/>
        <w:numPr>
          <w:ilvl w:val="0"/>
          <w:numId w:val="2"/>
        </w:numPr>
        <w:spacing w:after="110" w:line="280"/>
      </w:pPr>
      <w:r>
        <w:rPr>
          <w:rFonts w:ascii="Arial" w:cs="Arial" w:eastAsia="Arial" w:hAnsi="Arial"/>
          <w:sz w:val="22"/>
          <w:szCs w:val="22"/>
        </w:rPr>
        <w:t xml:space="preserve">The Mississippi and Nevada settlement amounts, and the total remaining exposure across the eleven unresolved state actions. The company states it cannot reasonably estimate the range.</w:t>
      </w:r>
    </w:p>
    <w:p>
      <w:pPr>
        <w:pStyle w:val="ListParagraph"/>
        <w:numPr>
          <w:ilvl w:val="0"/>
          <w:numId w:val="2"/>
        </w:numPr>
        <w:spacing w:after="110" w:line="280"/>
      </w:pPr>
      <w:r>
        <w:rPr>
          <w:rFonts w:ascii="Arial" w:cs="Arial" w:eastAsia="Arial" w:hAnsi="Arial"/>
          <w:sz w:val="22"/>
          <w:szCs w:val="22"/>
        </w:rPr>
        <w:t xml:space="preserve">The performance targets inside the executive PSU awards, and cumulative creator earnings since inception. Neither is disclosed.</w:t>
      </w:r>
    </w:p>
    <w:p>
      <w:pPr>
        <w:spacing w:after="140" w:line="280"/>
        <w:jc w:val="left"/>
      </w:pPr>
      <w:r>
        <w:rPr>
          <w:rFonts w:ascii="Arial" w:cs="Arial" w:eastAsia="Arial" w:hAnsi="Arial"/>
          <w:sz w:val="22"/>
          <w:szCs w:val="22"/>
        </w:rPr>
        <w:t xml:space="preserve">Three questions would need answering before a thesis could be formed. First, what share of the September 2025 engagement step-up was attributable to individual viral experiences, since that determines whether the current decline is a normalisation or a deterioration. Second, what bookings level the platform settles at once age-check penetration reaches the stated 90% target and the funnel friction is fully absorbed. Third, whether developer exchange fees as a share of bookings can ever stop rising, given that the June 2026 increase was conceded during a slowdown rather than a boom.</w:t>
      </w:r>
    </w:p>
    <w:p>
      <w:pPr>
        <w:spacing w:after="200" w:before="360"/>
      </w:pPr>
      <w:r>
        <w:br w:type="page"/>
      </w:r>
      <w:r>
        <w:rPr>
          <w:rFonts w:ascii="Arial" w:cs="Arial" w:eastAsia="Arial" w:hAnsi="Arial"/>
          <w:b/>
          <w:bCs/>
          <w:color w:val="1F3864"/>
          <w:sz w:val="32"/>
          <w:szCs w:val="32"/>
        </w:rPr>
        <w:t xml:space="preserve">8. Investor Takeaways</w:t>
      </w:r>
    </w:p>
    <w:p>
      <w:pPr>
        <w:pStyle w:val="ListParagraph"/>
        <w:numPr>
          <w:ilvl w:val="0"/>
          <w:numId w:val="2"/>
        </w:numPr>
        <w:spacing w:after="110" w:line="280"/>
      </w:pPr>
      <w:r>
        <w:rPr>
          <w:rFonts w:ascii="Arial" w:cs="Arial" w:eastAsia="Arial" w:hAnsi="Arial"/>
          <w:b/>
          <w:bCs/>
          <w:sz w:val="22"/>
          <w:szCs w:val="22"/>
        </w:rPr>
        <w:t xml:space="preserve">This is a marketplace, not a games company. </w:t>
      </w:r>
      <w:r>
        <w:rPr>
          <w:rFonts w:ascii="Arial" w:cs="Arial" w:eastAsia="Arial" w:hAnsi="Arial"/>
          <w:sz w:val="22"/>
          <w:szCs w:val="22"/>
        </w:rPr>
        <w:t xml:space="preserve">It sits between creators who own the content and app stores that own the distribution, and keeps what is left.</w:t>
      </w:r>
    </w:p>
    <w:p>
      <w:pPr>
        <w:pStyle w:val="ListParagraph"/>
        <w:numPr>
          <w:ilvl w:val="0"/>
          <w:numId w:val="2"/>
        </w:numPr>
        <w:spacing w:after="110" w:line="280"/>
      </w:pPr>
      <w:r>
        <w:rPr>
          <w:rFonts w:ascii="Arial" w:cs="Arial" w:eastAsia="Arial" w:hAnsi="Arial"/>
          <w:b/>
          <w:bCs/>
          <w:sz w:val="22"/>
          <w:szCs w:val="22"/>
        </w:rPr>
        <w:t xml:space="preserve">The economic engine is one Robux spent. </w:t>
      </w:r>
      <w:r>
        <w:rPr>
          <w:rFonts w:ascii="Arial" w:cs="Arial" w:eastAsia="Arial" w:hAnsi="Arial"/>
          <w:sz w:val="22"/>
          <w:szCs w:val="22"/>
        </w:rPr>
        <w:t xml:space="preserve">Roughly 16 cents of every booked dollar goes to payment and distribution, 22 cents to creators, and the rest funds a platform that has never earned a GAAP profit while generating around 20 cents of free cash flow per booked dollar.</w:t>
      </w:r>
    </w:p>
    <w:p>
      <w:pPr>
        <w:pStyle w:val="ListParagraph"/>
        <w:numPr>
          <w:ilvl w:val="0"/>
          <w:numId w:val="2"/>
        </w:numPr>
        <w:spacing w:after="110" w:line="280"/>
      </w:pPr>
      <w:r>
        <w:rPr>
          <w:rFonts w:ascii="Arial" w:cs="Arial" w:eastAsia="Arial" w:hAnsi="Arial"/>
          <w:b/>
          <w:bCs/>
          <w:sz w:val="22"/>
          <w:szCs w:val="22"/>
        </w:rPr>
        <w:t xml:space="preserve">Growth has come from adding users, not from monetising them better. </w:t>
      </w:r>
      <w:r>
        <w:rPr>
          <w:rFonts w:ascii="Arial" w:cs="Arial" w:eastAsia="Arial" w:hAnsi="Arial"/>
          <w:sz w:val="22"/>
          <w:szCs w:val="22"/>
        </w:rPr>
        <w:t xml:space="preserve">Bookings per user have been flat near $52 a year since FY2022, so the deceleration in users is the deceleration in the business.</w:t>
      </w:r>
    </w:p>
    <w:p>
      <w:pPr>
        <w:pStyle w:val="ListParagraph"/>
        <w:numPr>
          <w:ilvl w:val="0"/>
          <w:numId w:val="2"/>
        </w:numPr>
        <w:spacing w:after="110" w:line="280"/>
      </w:pPr>
      <w:r>
        <w:rPr>
          <w:rFonts w:ascii="Arial" w:cs="Arial" w:eastAsia="Arial" w:hAnsi="Arial"/>
          <w:b/>
          <w:bCs/>
          <w:sz w:val="22"/>
          <w:szCs w:val="22"/>
        </w:rPr>
        <w:t xml:space="preserve">What could break the story is regulatory friction meeting a flat monetisation curve. </w:t>
      </w:r>
      <w:r>
        <w:rPr>
          <w:rFonts w:ascii="Arial" w:cs="Arial" w:eastAsia="Arial" w:hAnsi="Arial"/>
          <w:sz w:val="22"/>
          <w:szCs w:val="22"/>
        </w:rPr>
        <w:t xml:space="preserve">Age assurance is reshaping the funnel at the same time as settlements ratchet and a competitor bids up the creator payout.</w:t>
      </w:r>
    </w:p>
    <w:p>
      <w:pPr>
        <w:pStyle w:val="ListParagraph"/>
        <w:numPr>
          <w:ilvl w:val="0"/>
          <w:numId w:val="2"/>
        </w:numPr>
        <w:spacing w:after="110" w:line="280"/>
      </w:pPr>
      <w:r>
        <w:rPr>
          <w:rFonts w:ascii="Arial" w:cs="Arial" w:eastAsia="Arial" w:hAnsi="Arial"/>
          <w:b/>
          <w:bCs/>
          <w:sz w:val="22"/>
          <w:szCs w:val="22"/>
        </w:rPr>
        <w:t xml:space="preserve">Watch bookings, not revenue. </w:t>
      </w:r>
      <w:r>
        <w:rPr>
          <w:rFonts w:ascii="Arial" w:cs="Arial" w:eastAsia="Arial" w:hAnsi="Arial"/>
          <w:sz w:val="22"/>
          <w:szCs w:val="22"/>
        </w:rPr>
        <w:t xml:space="preserve">Reported revenue is a two-year echo of cash already collected; bookings, bookings per user and age-check penetration are what describe the business as it stands.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2026-09-07T10:17:50.051Z</dcterms:created>
  <dcterms:modified xsi:type="dcterms:W3CDTF">2026-09-07T10:17:50.051Z</dcterms:modified>
</cp:coreProperties>
</file>

<file path=docProps/custom.xml><?xml version="1.0" encoding="utf-8"?>
<Properties xmlns="http://schemas.openxmlformats.org/officeDocument/2006/custom-properties" xmlns:vt="http://schemas.openxmlformats.org/officeDocument/2006/docPropsVTypes"/>
</file>