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left"/>
      </w:pPr>
      <w:r>
        <w:rPr>
          <w:rFonts w:ascii="Arial" w:cs="Arial" w:eastAsia="Arial" w:hAnsi="Arial"/>
          <w:caps/>
          <w:color w:val="7F7F7F"/>
          <w:sz w:val="24"/>
          <w:szCs w:val="24"/>
        </w:rPr>
        <w:t xml:space="preserve">Business Overview</w:t>
      </w:r>
    </w:p>
    <w:p>
      <w:pPr>
        <w:spacing w:after="160"/>
      </w:pPr>
      <w:r>
        <w:rPr>
          <w:rFonts w:ascii="Arial" w:cs="Arial" w:eastAsia="Arial" w:hAnsi="Arial"/>
          <w:b/>
          <w:bCs/>
          <w:color w:val="1F3864"/>
          <w:sz w:val="56"/>
          <w:szCs w:val="56"/>
        </w:rPr>
        <w:t xml:space="preserve">Sandisk Corporation</w:t>
      </w:r>
    </w:p>
    <w:p>
      <w:pPr>
        <w:spacing w:after="520"/>
      </w:pPr>
      <w:r>
        <w:rPr>
          <w:rFonts w:ascii="Arial" w:cs="Arial" w:eastAsia="Arial" w:hAnsi="Arial"/>
          <w:color w:val="595959"/>
          <w:sz w:val="28"/>
          <w:szCs w:val="28"/>
        </w:rPr>
        <w:t xml:space="preserve">NASDAQ: SNDK</w:t>
      </w:r>
    </w:p>
    <w:p>
      <w:pPr>
        <w:spacing w:after="140" w:line="280"/>
      </w:pPr>
      <w:r>
        <w:rPr>
          <w:rFonts w:ascii="Arial" w:cs="Arial" w:eastAsia="Arial" w:hAnsi="Arial"/>
          <w:color w:val="595959"/>
          <w:sz w:val="22"/>
          <w:szCs w:val="22"/>
        </w:rPr>
        <w:t xml:space="preserve">7 September 2026</w:t>
      </w:r>
    </w:p>
    <w:p>
      <w:pPr>
        <w:spacing w:after="140" w:line="280"/>
      </w:pPr>
      <w:r>
        <w:rPr>
          <w:rFonts w:ascii="Arial" w:cs="Arial" w:eastAsia="Arial" w:hAnsi="Arial"/>
          <w:color w:val="595959"/>
          <w:sz w:val="20"/>
          <w:szCs w:val="20"/>
        </w:rPr>
        <w:t xml:space="preserve">Evidence base: Sandisk SEC filings — FY2026 10-K (fiscal year ended 3 July 2026) and FY2025 10-K, the FQ3 FY2026 10-Q, the FY2025 and FY2026 quarterly earnings releases, the June 2025 spin-off prospectus, the February 2025 separation 8-K and the 2025 proxy — supplemented by independent industry research (TrendForce, Counterpoint) and the filings of named competitors.</w:t>
      </w:r>
    </w:p>
    <w:p>
      <w:pPr>
        <w:spacing w:after="140" w:line="280"/>
      </w:pPr>
      <w:r>
        <w:rPr>
          <w:rFonts w:ascii="Arial" w:cs="Arial" w:eastAsia="Arial" w:hAnsi="Arial"/>
          <w:i/>
          <w:iCs/>
          <w:color w:val="595959"/>
          <w:sz w:val="20"/>
          <w:szCs w:val="20"/>
        </w:rPr>
        <w:t xml:space="preserve">This is an explanation of how the business works. It is not a valuation and not a recommendation.</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C9C9C9" w:sz="4"/>
          <w:left w:val="single" w:color="C9C9C9" w:sz="4"/>
          <w:bottom w:val="single" w:color="C9C9C9" w:sz="4"/>
          <w:right w:val="single" w:color="C9C9C9" w:sz="4"/>
          <w:insideH w:val="single" w:color="C9C9C9" w:sz="2"/>
          <w:insideV w:val="single" w:color="C9C9C9" w:sz="2"/>
        </w:tblBorders>
      </w:tblPr>
      <w:tblGrid>
        <w:gridCol w:w="2400"/>
        <w:gridCol w:w="6960"/>
      </w:tblGrid>
      <w:tr>
        <w:trPr>
          <w:tblHeader/>
        </w:trPr>
        <w:tc>
          <w:tcPr>
            <w:tcW w:type="dxa" w:w="240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Item</w:t>
            </w:r>
          </w:p>
        </w:tc>
        <w:tc>
          <w:tcPr>
            <w:tcW w:type="dxa" w:w="696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Summary</w:t>
            </w:r>
          </w:p>
        </w:tc>
      </w:tr>
      <w:tr>
        <w:trPr>
          <w:tblHeader w:val="false"/>
        </w:trPr>
        <w:tc>
          <w:tcPr>
            <w:tcW w:type="dxa" w:w="24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What the business is</w:t>
            </w:r>
          </w:p>
        </w:tc>
        <w:tc>
          <w:tcPr>
            <w:tcW w:type="dxa" w:w="69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A pure-play NAND flash memory company. It does not own a fab; it owns half the output of one.</w:t>
            </w:r>
          </w:p>
        </w:tc>
      </w:tr>
      <w:tr>
        <w:trPr>
          <w:tblHeader w:val="false"/>
        </w:trPr>
        <w:tc>
          <w:tcPr>
            <w:tcW w:type="dxa" w:w="240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Industry</w:t>
            </w:r>
          </w:p>
        </w:tc>
        <w:tc>
          <w:tcPr>
            <w:tcW w:type="dxa" w:w="696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NAND flash memory — six suppliers of a fungible commodity bit, sold as SSDs, embedded storage and retail cards.</w:t>
            </w:r>
          </w:p>
        </w:tc>
      </w:tr>
      <w:tr>
        <w:trPr>
          <w:tblHeader w:val="false"/>
        </w:trPr>
        <w:tc>
          <w:tcPr>
            <w:tcW w:type="dxa" w:w="24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How it makes money</w:t>
            </w:r>
          </w:p>
        </w:tc>
        <w:tc>
          <w:tcPr>
            <w:tcW w:type="dxa" w:w="69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It buys roughly half of the Flash Ventures joint venture's wafer output at cost plus a small markup, packages the bits into drives and cards, and sells them at the prevailing market price.</w:t>
            </w:r>
          </w:p>
        </w:tc>
      </w:tr>
      <w:tr>
        <w:trPr>
          <w:tblHeader w:val="false"/>
        </w:trPr>
        <w:tc>
          <w:tcPr>
            <w:tcW w:type="dxa" w:w="240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The unit, and what it earns</w:t>
            </w:r>
          </w:p>
        </w:tc>
        <w:tc>
          <w:tcPr>
            <w:tcW w:type="dxa" w:w="696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One gigabyte of NAND. In FY2026 Sandisk sold mid-teens percent more bits than in FY2025 and booked 175% more revenue (FY2026 10-K).</w:t>
            </w:r>
          </w:p>
        </w:tc>
      </w:tr>
      <w:tr>
        <w:trPr>
          <w:tblHeader w:val="false"/>
        </w:trPr>
        <w:tc>
          <w:tcPr>
            <w:tcW w:type="dxa" w:w="24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What protects it</w:t>
            </w:r>
          </w:p>
        </w:tc>
        <w:tc>
          <w:tcPr>
            <w:tcW w:type="dxa" w:w="69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A 49.9% interest in the Kioxia joint venture, now extended to December 2034; approximately 8,000 granted patents in controller and firmware design; and the Sandisk retail brand.</w:t>
            </w:r>
          </w:p>
        </w:tc>
      </w:tr>
      <w:tr>
        <w:trPr>
          <w:tblHeader w:val="false"/>
        </w:trPr>
        <w:tc>
          <w:tcPr>
            <w:tcW w:type="dxa" w:w="240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What drives earnings</w:t>
            </w:r>
          </w:p>
        </w:tc>
        <w:tc>
          <w:tcPr>
            <w:tcW w:type="dxa" w:w="696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The NAND price per gigabyte; how Sandisk allocates a fixed pool of bits across Datacenter, Edge and Consumer; and how much of Flash Ventures' fixed cost the volume absorbs.</w:t>
            </w:r>
          </w:p>
        </w:tc>
      </w:tr>
      <w:tr>
        <w:trPr>
          <w:tblHeader w:val="false"/>
        </w:trPr>
        <w:tc>
          <w:tcPr>
            <w:tcW w:type="dxa" w:w="24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What to watch</w:t>
            </w:r>
          </w:p>
        </w:tc>
        <w:tc>
          <w:tcPr>
            <w:tcW w:type="dxa" w:w="69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Quarterly NAND contract prices; the exabyte-versus-price split Sandisk discloses each quarter; and the size of the long-term customer agreements now on the books.</w:t>
            </w:r>
          </w:p>
        </w:tc>
      </w:tr>
      <w:tr>
        <w:trPr>
          <w:tblHeader w:val="false"/>
        </w:trPr>
        <w:tc>
          <w:tcPr>
            <w:tcW w:type="dxa" w:w="240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Cycle exposure</w:t>
            </w:r>
          </w:p>
        </w:tc>
        <w:tc>
          <w:tcPr>
            <w:tcW w:type="dxa" w:w="696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High. Gross margin has moved from 7.1% (FY2023) to 84.6% (most recent quarter) without a comparable change in volume.</w:t>
            </w:r>
          </w:p>
        </w:tc>
      </w:tr>
    </w:tbl>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40" w:line="280"/>
      </w:pPr>
      <w:r>
        <w:rPr>
          <w:rFonts w:ascii="Arial" w:cs="Arial" w:eastAsia="Arial" w:hAnsi="Arial"/>
          <w:sz w:val="22"/>
          <w:szCs w:val="22"/>
        </w:rPr>
        <w:t xml:space="preserve">Every phone, laptop, camera and data-centre server needs somewhere to keep data when the power goes off. NAND flash is the cheapest technology that does that at speed, and the buyer's question is almost always the same one: what is the lowest cost per gigabyte at the endurance and latency I need. Sandisk exists to answer that question at three different points on the price-performance curve.</w:t>
      </w:r>
    </w:p>
    <w:p>
      <w:pPr>
        <w:spacing w:after="140" w:line="280"/>
      </w:pPr>
      <w:r>
        <w:rPr>
          <w:rFonts w:ascii="Arial" w:cs="Arial" w:eastAsia="Arial" w:hAnsi="Arial"/>
          <w:sz w:val="22"/>
          <w:szCs w:val="22"/>
        </w:rPr>
        <w:t xml:space="preserve">The unit of economics is one gigabyte of NAND. Sandisk reports volume in exabytes and price as revenue per gigabyte, though it discloses only percentage changes in each and never the absolute figures (FY2026 10-K). That single disclosure choice is the most consequential gap in the filings, and Section 7 returns to it.</w:t>
      </w:r>
    </w:p>
    <w:p>
      <w:pPr>
        <w:pStyle w:val="Heading2"/>
        <w:spacing w:after="180" w:before="180"/>
      </w:pPr>
      <w:r>
        <w:rPr>
          <w:rFonts w:ascii="Arial" w:cs="Arial" w:eastAsia="Arial" w:hAnsi="Arial"/>
          <w:b/>
          <w:bCs/>
          <w:color w:val="1F3864"/>
          <w:sz w:val="28"/>
          <w:szCs w:val="28"/>
        </w:rPr>
        <w:t xml:space="preserve">Tracing one gigabyte from wafer to cash</w:t>
      </w:r>
    </w:p>
    <w:p>
      <w:pPr>
        <w:spacing w:after="140" w:line="280"/>
      </w:pPr>
      <w:r>
        <w:rPr>
          <w:rFonts w:ascii="Arial" w:cs="Arial" w:eastAsia="Arial" w:hAnsi="Arial"/>
          <w:sz w:val="22"/>
          <w:szCs w:val="22"/>
        </w:rPr>
        <w:t xml:space="preserve">The gigabyte begins in Japan, in a fab Sandisk does not own. Flash Ventures — three joint-venture entities in which Sandisk holds 49.9% and Kioxia the remaining 50.1% — operates across eight facilities, six at Yokkaichi and two at Kitakami, the second of which began producing output during FY2026. Kioxia owns the buildings and equipment and supplies manufacturing services to the venture at cost. Flash Ventures sells wafers to its two parents at cost plus a small markup, and each parent is entitled to roughly half the output (FY2026 10-K).</w:t>
      </w:r>
    </w:p>
    <w:p>
      <w:pPr>
        <w:spacing w:after="140" w:line="280"/>
      </w:pPr>
      <w:r>
        <w:rPr>
          <w:rFonts w:ascii="Arial" w:cs="Arial" w:eastAsia="Arial" w:hAnsi="Arial"/>
          <w:sz w:val="22"/>
          <w:szCs w:val="22"/>
        </w:rPr>
        <w:t xml:space="preserve">Two features of that arrangement decide almost everything about Sandisk's economics. </w:t>
      </w:r>
      <w:r>
        <w:rPr>
          <w:rFonts w:ascii="Arial" w:cs="Arial" w:eastAsia="Arial" w:hAnsi="Arial"/>
          <w:b/>
          <w:bCs/>
          <w:sz w:val="22"/>
          <w:szCs w:val="22"/>
        </w:rPr>
        <w:t xml:space="preserve">First, the wafer price Sandisk pays is a cost, not a market price</w:t>
      </w:r>
      <w:r>
        <w:rPr>
          <w:rFonts w:ascii="Arial" w:cs="Arial" w:eastAsia="Arial" w:hAnsi="Arial"/>
          <w:sz w:val="22"/>
          <w:szCs w:val="22"/>
        </w:rPr>
        <w:t xml:space="preserve"> — it does not rise when NAND prices rise. Second, Sandisk is obliged to pay half of Flash Ventures' fixed costs regardless of how much output it actually takes, and its wafer orders are binding three months out and cannot be cancelled (FY2026 10-K). The first feature is why a rising NAND price falls almost entirely through to gross profit. The second is why a falling one does the same in reverse.</w:t>
      </w:r>
    </w:p>
    <w:p>
      <w:pPr>
        <w:spacing w:after="140" w:line="280"/>
      </w:pPr>
      <w:r>
        <w:rPr>
          <w:rFonts w:ascii="Arial" w:cs="Arial" w:eastAsia="Arial" w:hAnsi="Arial"/>
          <w:sz w:val="22"/>
          <w:szCs w:val="22"/>
        </w:rPr>
        <w:t xml:space="preserve">From the wafer, Sandisk does the rest itself. It dices and tests the die and assembles finished products, principally at a 1.18 million square foot owned facility in Penang, Malaysia, adding its own controller silicon and firmware — the layer that turns raw die into a qualified enterprise drive. The company employs roughly 11,100 people across 33 countries and holds approximately 8,000 granted patents with a further 3,000 applications pending (FY2026 10-K).</w:t>
      </w:r>
    </w:p>
    <w:p>
      <w:pPr>
        <w:spacing w:after="140" w:line="280"/>
      </w:pPr>
      <w:r>
        <w:rPr>
          <w:rFonts w:ascii="Arial" w:cs="Arial" w:eastAsia="Arial" w:hAnsi="Arial"/>
          <w:sz w:val="22"/>
          <w:szCs w:val="22"/>
        </w:rPr>
        <w:t xml:space="preserve">It then sells to computer manufacturers, cloud service providers, distributors and retailers. No single customer accounted for more than 10% of revenue in any of the last three years, and the top ten together were 44% of FY2026 revenue, up from 40% in FY2025 (FY2026 10-K). Cash comes back slowly: receivables ran 48 days, inventory 178 days and payables 64 days in FY2026, a cash conversion cycle of 162 days against 136 days a year earlier.</w:t>
      </w:r>
    </w:p>
    <w:p>
      <w:pPr>
        <w:pStyle w:val="Heading2"/>
        <w:spacing w:after="180" w:before="180"/>
      </w:pPr>
      <w:r>
        <w:rPr>
          <w:rFonts w:ascii="Arial" w:cs="Arial" w:eastAsia="Arial" w:hAnsi="Arial"/>
          <w:b/>
          <w:bCs/>
          <w:color w:val="1F3864"/>
          <w:sz w:val="28"/>
          <w:szCs w:val="28"/>
        </w:rPr>
        <w:t xml:space="preserve">Three end markets, and one that is shrinking on purpose</w:t>
      </w:r>
    </w:p>
    <w:tbl>
      <w:tblPr>
        <w:tblW w:type="dxa" w:w="9360"/>
        <w:tblBorders>
          <w:top w:val="single" w:color="C9C9C9" w:sz="4"/>
          <w:left w:val="single" w:color="C9C9C9" w:sz="4"/>
          <w:bottom w:val="single" w:color="C9C9C9" w:sz="4"/>
          <w:right w:val="single" w:color="C9C9C9" w:sz="4"/>
          <w:insideH w:val="single" w:color="C9C9C9" w:sz="2"/>
          <w:insideV w:val="single" w:color="C9C9C9" w:sz="2"/>
        </w:tblBorders>
      </w:tblPr>
      <w:tblGrid>
        <w:gridCol w:w="2340"/>
        <w:gridCol w:w="1755"/>
        <w:gridCol w:w="1755"/>
        <w:gridCol w:w="1755"/>
        <w:gridCol w:w="1755"/>
      </w:tblGrid>
      <w:tr>
        <w:trPr>
          <w:tblHeader/>
        </w:trPr>
        <w:tc>
          <w:tcPr>
            <w:tcW w:type="dxa" w:w="234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End market</w:t>
            </w:r>
          </w:p>
        </w:tc>
        <w:tc>
          <w:tcPr>
            <w:tcW w:type="dxa" w:w="1755"/>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FY2025 rev.</w:t>
            </w:r>
          </w:p>
        </w:tc>
        <w:tc>
          <w:tcPr>
            <w:tcW w:type="dxa" w:w="1755"/>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FY2026 rev.</w:t>
            </w:r>
          </w:p>
        </w:tc>
        <w:tc>
          <w:tcPr>
            <w:tcW w:type="dxa" w:w="1755"/>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Change</w:t>
            </w:r>
          </w:p>
        </w:tc>
        <w:tc>
          <w:tcPr>
            <w:tcW w:type="dxa" w:w="1755"/>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FY26 bits</w:t>
            </w:r>
          </w:p>
        </w:tc>
      </w:tr>
      <w:tr>
        <w:trPr>
          <w:tblHeader w:val="false"/>
        </w:trPr>
        <w:tc>
          <w:tcPr>
            <w:tcW w:type="dxa" w:w="234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Datacenter — enterprise SSDs for servers and AI workloads</w:t>
            </w:r>
          </w:p>
        </w:tc>
        <w:tc>
          <w:tcPr>
            <w:tcW w:type="dxa" w:w="1755"/>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$960M</w:t>
            </w:r>
          </w:p>
        </w:tc>
        <w:tc>
          <w:tcPr>
            <w:tcW w:type="dxa" w:w="1755"/>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$5,153M</w:t>
            </w:r>
          </w:p>
        </w:tc>
        <w:tc>
          <w:tcPr>
            <w:tcW w:type="dxa" w:w="1755"/>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+437%</w:t>
            </w:r>
          </w:p>
        </w:tc>
        <w:tc>
          <w:tcPr>
            <w:tcW w:type="dxa" w:w="1755"/>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+~120%</w:t>
            </w:r>
          </w:p>
        </w:tc>
      </w:tr>
      <w:tr>
        <w:trPr>
          <w:tblHeader w:val="false"/>
        </w:trPr>
        <w:tc>
          <w:tcPr>
            <w:tcW w:type="dxa" w:w="234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Edge — client SSDs and embedded storage for PCs, phones, autos, IoT</w:t>
            </w:r>
          </w:p>
        </w:tc>
        <w:tc>
          <w:tcPr>
            <w:tcW w:type="dxa" w:w="1755"/>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$4,127M</w:t>
            </w:r>
          </w:p>
        </w:tc>
        <w:tc>
          <w:tcPr>
            <w:tcW w:type="dxa" w:w="1755"/>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$12,160M</w:t>
            </w:r>
          </w:p>
        </w:tc>
        <w:tc>
          <w:tcPr>
            <w:tcW w:type="dxa" w:w="1755"/>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+195%</w:t>
            </w:r>
          </w:p>
        </w:tc>
        <w:tc>
          <w:tcPr>
            <w:tcW w:type="dxa" w:w="1755"/>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+high single digits</w:t>
            </w:r>
          </w:p>
        </w:tc>
      </w:tr>
      <w:tr>
        <w:trPr>
          <w:tblHeader w:val="false"/>
        </w:trPr>
        <w:tc>
          <w:tcPr>
            <w:tcW w:type="dxa" w:w="234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Consumer — retail cards, USB drives, portable SSDs</w:t>
            </w:r>
          </w:p>
        </w:tc>
        <w:tc>
          <w:tcPr>
            <w:tcW w:type="dxa" w:w="1755"/>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$2,268M</w:t>
            </w:r>
          </w:p>
        </w:tc>
        <w:tc>
          <w:tcPr>
            <w:tcW w:type="dxa" w:w="1755"/>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$2,935M</w:t>
            </w:r>
          </w:p>
        </w:tc>
        <w:tc>
          <w:tcPr>
            <w:tcW w:type="dxa" w:w="1755"/>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+29%</w:t>
            </w:r>
          </w:p>
        </w:tc>
        <w:tc>
          <w:tcPr>
            <w:tcW w:type="dxa" w:w="1755"/>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−mid-teens</w:t>
            </w:r>
          </w:p>
        </w:tc>
      </w:tr>
      <w:tr>
        <w:trPr>
          <w:tblHeader w:val="false"/>
        </w:trPr>
        <w:tc>
          <w:tcPr>
            <w:tcW w:type="dxa" w:w="234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Total</w:t>
            </w:r>
          </w:p>
        </w:tc>
        <w:tc>
          <w:tcPr>
            <w:tcW w:type="dxa" w:w="1755"/>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$7,355M</w:t>
            </w:r>
          </w:p>
        </w:tc>
        <w:tc>
          <w:tcPr>
            <w:tcW w:type="dxa" w:w="1755"/>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$20,248M</w:t>
            </w:r>
          </w:p>
        </w:tc>
        <w:tc>
          <w:tcPr>
            <w:tcW w:type="dxa" w:w="1755"/>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+175%</w:t>
            </w:r>
          </w:p>
        </w:tc>
        <w:tc>
          <w:tcPr>
            <w:tcW w:type="dxa" w:w="1755"/>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+mid-teens</w:t>
            </w:r>
          </w:p>
        </w:tc>
      </w:tr>
    </w:tbl>
    <w:p>
      <w:pPr>
        <w:spacing w:after="180" w:before="120"/>
      </w:pPr>
      <w:r>
        <w:rPr>
          <w:rFonts w:ascii="Arial" w:cs="Arial" w:eastAsia="Arial" w:hAnsi="Arial"/>
          <w:i/>
          <w:iCs/>
          <w:color w:val="595959"/>
          <w:sz w:val="18"/>
          <w:szCs w:val="18"/>
        </w:rPr>
        <w:t xml:space="preserve">Source: FY2026 10-K. "Bits" is the change in exabytes sold. The FY2026 10-K renamed the FY2025 categories "Cloud" and "Client" to "Datacenter" and "Edge"; the prior-year dollar figures are identical under both labels, so this is a relabelling and not a restatement.</w:t>
      </w:r>
    </w:p>
    <w:p>
      <w:pPr>
        <w:spacing w:after="140" w:line="280"/>
      </w:pPr>
      <w:r>
        <w:rPr>
          <w:rFonts w:ascii="Arial" w:cs="Arial" w:eastAsia="Arial" w:hAnsi="Arial"/>
          <w:sz w:val="22"/>
          <w:szCs w:val="22"/>
        </w:rPr>
        <w:t xml:space="preserve">The Consumer line is the informative one. Its revenue rose 29% while the bits behind it fell by mid-teens percent, and in the fourth quarter of FY2026 Consumer revenue fell 32% sequentially to $556 million while total revenue rose 51% (FQ4 FY2026 release). Sandisk did not lose that business. Its bit supply is capped at half of Flash Ventures' output, so every gigabyte sold into a retail memory card is a gigabyte not sold into an enterprise drive. When enterprise pricing runs 150% higher than a year ago, the arithmetic makes the reallocation obvious, and the shrinking retail line is the visible fingerprint of a company rationing a fixed resource.</w:t>
      </w:r>
    </w:p>
    <w:p>
      <w:pPr>
        <w:spacing w:after="140" w:line="280"/>
      </w:pPr>
      <w:r>
        <w:rPr>
          <w:rFonts w:ascii="Arial" w:cs="Arial" w:eastAsia="Arial" w:hAnsi="Arial"/>
          <w:sz w:val="22"/>
          <w:szCs w:val="22"/>
        </w:rPr>
        <w:t xml:space="preserve">One further mechanical point sits inside the revenue line. Sandisk reduces gross revenue for sales incentive and price-protection programmes, and that deduction fell to 11% of gross revenue in FY2026 from 19% in each of the two prior years (FY2026 10-K). Price protection exists to compensate channel partners when prices fall between shipment and sale. In a rising market the company barely pays it, so roughly eight points of gross revenue that previously never reached the top line now do.</w:t>
      </w:r>
    </w:p>
    <w:p>
      <w:r>
        <w:br w:type="page"/>
      </w:r>
    </w:p>
    <w:p>
      <w:pPr>
        <w:pStyle w:val="Heading1"/>
        <w:spacing w:after="200" w:before="360"/>
      </w:pPr>
      <w:r>
        <w:rPr>
          <w:rFonts w:ascii="Arial" w:cs="Arial" w:eastAsia="Arial" w:hAnsi="Arial"/>
          <w:b/>
          <w:bCs/>
          <w:color w:val="1F3864"/>
          <w:sz w:val="32"/>
          <w:szCs w:val="32"/>
        </w:rPr>
        <w:t xml:space="preserve">3. Industry, Competitive Position and Moat</w:t>
      </w:r>
    </w:p>
    <w:p>
      <w:pPr>
        <w:spacing w:after="140" w:line="280"/>
      </w:pPr>
      <w:r>
        <w:rPr>
          <w:rFonts w:ascii="Arial" w:cs="Arial" w:eastAsia="Arial" w:hAnsi="Arial"/>
          <w:sz w:val="22"/>
          <w:szCs w:val="22"/>
        </w:rPr>
        <w:t xml:space="preserve">The NAND industry sells storage bits. Value is created along a short chain — wafer, die, controller and firmware, finished drive, customer — and the profit pool sits overwhelmingly at the first link. When bit prices rise the fab owners capture almost all of the gain, and when they fall the same owners absorb almost all of the loss, because the controller and drive-assembly layers earn something closer to a take rate. That is why every NAND supplier's margin moved in the same direction in the same quarters, and why differentiating firmware has never been enough to break a producer out of the cycle.</w:t>
      </w:r>
    </w:p>
    <w:p>
      <w:pPr>
        <w:pStyle w:val="Heading2"/>
        <w:spacing w:after="180" w:before="180"/>
      </w:pPr>
      <w:r>
        <w:rPr>
          <w:rFonts w:ascii="Arial" w:cs="Arial" w:eastAsia="Arial" w:hAnsi="Arial"/>
          <w:b/>
          <w:bCs/>
          <w:color w:val="1F3864"/>
          <w:sz w:val="28"/>
          <w:szCs w:val="28"/>
        </w:rPr>
        <w:t xml:space="preserve">Six suppliers, and where Sandisk sits among them</w:t>
      </w:r>
    </w:p>
    <w:tbl>
      <w:tblPr>
        <w:tblW w:type="dxa" w:w="9360"/>
        <w:tblBorders>
          <w:top w:val="single" w:color="C9C9C9" w:sz="4"/>
          <w:left w:val="single" w:color="C9C9C9" w:sz="4"/>
          <w:bottom w:val="single" w:color="C9C9C9" w:sz="4"/>
          <w:right w:val="single" w:color="C9C9C9" w:sz="4"/>
          <w:insideH w:val="single" w:color="C9C9C9" w:sz="2"/>
          <w:insideV w:val="single" w:color="C9C9C9" w:sz="2"/>
        </w:tblBorders>
      </w:tblPr>
      <w:tblGrid>
        <w:gridCol w:w="2340"/>
        <w:gridCol w:w="2340"/>
        <w:gridCol w:w="2340"/>
        <w:gridCol w:w="2340"/>
      </w:tblGrid>
      <w:tr>
        <w:trPr>
          <w:tblHeader/>
        </w:trPr>
        <w:tc>
          <w:tcPr>
            <w:tcW w:type="dxa" w:w="234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Supplier</w:t>
            </w:r>
          </w:p>
        </w:tc>
        <w:tc>
          <w:tcPr>
            <w:tcW w:type="dxa" w:w="234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Q2 CY2026 revenue</w:t>
            </w:r>
          </w:p>
        </w:tc>
        <w:tc>
          <w:tcPr>
            <w:tcW w:type="dxa" w:w="234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Revenue share</w:t>
            </w:r>
          </w:p>
        </w:tc>
        <w:tc>
          <w:tcPr>
            <w:tcW w:type="dxa" w:w="234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Bit share</w:t>
            </w:r>
          </w:p>
        </w:tc>
      </w:tr>
      <w:tr>
        <w:trPr>
          <w:tblHeader w:val="false"/>
        </w:trPr>
        <w:tc>
          <w:tcPr>
            <w:tcW w:type="dxa" w:w="234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Samsung</w:t>
            </w:r>
          </w:p>
        </w:tc>
        <w:tc>
          <w:tcPr>
            <w:tcW w:type="dxa" w:w="234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$23.06B</w:t>
            </w:r>
          </w:p>
        </w:tc>
        <w:tc>
          <w:tcPr>
            <w:tcW w:type="dxa" w:w="234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29.3%</w:t>
            </w:r>
          </w:p>
        </w:tc>
        <w:tc>
          <w:tcPr>
            <w:tcW w:type="dxa" w:w="234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25%</w:t>
            </w:r>
          </w:p>
        </w:tc>
      </w:tr>
      <w:tr>
        <w:trPr>
          <w:tblHeader w:val="false"/>
        </w:trPr>
        <w:tc>
          <w:tcPr>
            <w:tcW w:type="dxa" w:w="234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SK hynix (incl. Solidigm)</w:t>
            </w:r>
          </w:p>
        </w:tc>
        <w:tc>
          <w:tcPr>
            <w:tcW w:type="dxa" w:w="234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$14.27B</w:t>
            </w:r>
          </w:p>
        </w:tc>
        <w:tc>
          <w:tcPr>
            <w:tcW w:type="dxa" w:w="234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w:t>
            </w:r>
          </w:p>
        </w:tc>
        <w:tc>
          <w:tcPr>
            <w:tcW w:type="dxa" w:w="234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22%</w:t>
            </w:r>
          </w:p>
        </w:tc>
      </w:tr>
      <w:tr>
        <w:trPr>
          <w:tblHeader w:val="false"/>
        </w:trPr>
        <w:tc>
          <w:tcPr>
            <w:tcW w:type="dxa" w:w="234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Micron</w:t>
            </w:r>
          </w:p>
        </w:tc>
        <w:tc>
          <w:tcPr>
            <w:tcW w:type="dxa" w:w="234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$11.85B</w:t>
            </w:r>
          </w:p>
        </w:tc>
        <w:tc>
          <w:tcPr>
            <w:tcW w:type="dxa" w:w="234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w:t>
            </w:r>
          </w:p>
        </w:tc>
        <w:tc>
          <w:tcPr>
            <w:tcW w:type="dxa" w:w="234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13%</w:t>
            </w:r>
          </w:p>
        </w:tc>
      </w:tr>
      <w:tr>
        <w:trPr>
          <w:tblHeader w:val="false"/>
        </w:trPr>
        <w:tc>
          <w:tcPr>
            <w:tcW w:type="dxa" w:w="234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Kioxia</w:t>
            </w:r>
          </w:p>
        </w:tc>
        <w:tc>
          <w:tcPr>
            <w:tcW w:type="dxa" w:w="234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$10.72B</w:t>
            </w:r>
          </w:p>
        </w:tc>
        <w:tc>
          <w:tcPr>
            <w:tcW w:type="dxa" w:w="234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13.6%</w:t>
            </w:r>
          </w:p>
        </w:tc>
        <w:tc>
          <w:tcPr>
            <w:tcW w:type="dxa" w:w="234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14%</w:t>
            </w:r>
          </w:p>
        </w:tc>
      </w:tr>
      <w:tr>
        <w:trPr>
          <w:tblHeader w:val="false"/>
        </w:trPr>
        <w:tc>
          <w:tcPr>
            <w:tcW w:type="dxa" w:w="234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Sandisk</w:t>
            </w:r>
          </w:p>
        </w:tc>
        <w:tc>
          <w:tcPr>
            <w:tcW w:type="dxa" w:w="234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$8.97B</w:t>
            </w:r>
          </w:p>
        </w:tc>
        <w:tc>
          <w:tcPr>
            <w:tcW w:type="dxa" w:w="234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w:t>
            </w:r>
          </w:p>
        </w:tc>
        <w:tc>
          <w:tcPr>
            <w:tcW w:type="dxa" w:w="234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11%</w:t>
            </w:r>
          </w:p>
        </w:tc>
      </w:tr>
      <w:tr>
        <w:trPr>
          <w:tblHeader w:val="false"/>
        </w:trPr>
        <w:tc>
          <w:tcPr>
            <w:tcW w:type="dxa" w:w="234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YMTC</w:t>
            </w:r>
          </w:p>
        </w:tc>
        <w:tc>
          <w:tcPr>
            <w:tcW w:type="dxa" w:w="234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not ranked</w:t>
            </w:r>
          </w:p>
        </w:tc>
        <w:tc>
          <w:tcPr>
            <w:tcW w:type="dxa" w:w="234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w:t>
            </w:r>
          </w:p>
        </w:tc>
        <w:tc>
          <w:tcPr>
            <w:tcW w:type="dxa" w:w="234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14%</w:t>
            </w:r>
          </w:p>
        </w:tc>
      </w:tr>
    </w:tbl>
    <w:p>
      <w:pPr>
        <w:spacing w:after="180" w:before="120"/>
      </w:pPr>
      <w:r>
        <w:rPr>
          <w:rFonts w:ascii="Arial" w:cs="Arial" w:eastAsia="Arial" w:hAnsi="Arial"/>
          <w:i/>
          <w:iCs/>
          <w:color w:val="595959"/>
          <w:sz w:val="18"/>
          <w:szCs w:val="18"/>
        </w:rPr>
        <w:t xml:space="preserve">Sources: TrendForce, 18 August 2026 (revenue and revenue share); Counterpoint bit-shipment data via XenoSpectrum, September 2026 (bit share). TrendForce publishes explicit share percentages only for some rows. Sandisk's 50.7% sequential revenue growth was the slowest of the top five, which TrendForce attributes to conservative bit-shipment growth.</w:t>
      </w:r>
    </w:p>
    <w:p>
      <w:pPr>
        <w:spacing w:after="140" w:line="280"/>
      </w:pPr>
      <w:r>
        <w:rPr>
          <w:rFonts w:ascii="Arial" w:cs="Arial" w:eastAsia="Arial" w:hAnsi="Arial"/>
          <w:sz w:val="22"/>
          <w:szCs w:val="22"/>
        </w:rPr>
        <w:t xml:space="preserve">Sandisk is the smallest of the major suppliers on both revenue and bits. That is not a criticism of execution — it is the structural fact that organises everything else in this section. Sandisk's bit supply is half of one joint venture's output, and the joint venture's capacity is what it is.</w:t>
      </w:r>
    </w:p>
    <w:p>
      <w:pPr>
        <w:pStyle w:val="Heading2"/>
        <w:spacing w:after="180" w:before="180"/>
      </w:pPr>
      <w:r>
        <w:rPr>
          <w:rFonts w:ascii="Arial" w:cs="Arial" w:eastAsia="Arial" w:hAnsi="Arial"/>
          <w:b/>
          <w:bCs/>
          <w:color w:val="1F3864"/>
          <w:sz w:val="28"/>
          <w:szCs w:val="28"/>
        </w:rPr>
        <w:t xml:space="preserve">Which barriers actually bind</w:t>
      </w:r>
    </w:p>
    <w:p>
      <w:pPr>
        <w:spacing w:after="140" w:line="280"/>
      </w:pPr>
      <w:r>
        <w:rPr>
          <w:rFonts w:ascii="Arial" w:cs="Arial" w:eastAsia="Arial" w:hAnsi="Arial"/>
          <w:sz w:val="22"/>
          <w:szCs w:val="22"/>
        </w:rPr>
        <w:t xml:space="preserve">The barrier that binds is capital and process. Industry capex ran $21.1 billion in 2025 and is forecast at $22.2 billion for 2026, and TrendForce notes that the 2026 money is going into process migration and yield rather than new capacity (TrendForce, 13 November 2025). A new entrant would need a decade and tens of billions of dollars, and would arrive with a cost structure behind the incumbents' latest node.</w:t>
      </w:r>
    </w:p>
    <w:p>
      <w:pPr>
        <w:spacing w:after="140" w:line="280"/>
      </w:pPr>
      <w:r>
        <w:rPr>
          <w:rFonts w:ascii="Arial" w:cs="Arial" w:eastAsia="Arial" w:hAnsi="Arial"/>
          <w:sz w:val="22"/>
          <w:szCs w:val="22"/>
        </w:rPr>
        <w:t xml:space="preserve">The barrier that does not bind is anything resembling a switching cost at the bit level. Bits are fungible and qualification at the drive level is a matter of months, not years. The evidence for this is Yangtze Memory: placed on the US Entity List in December 2022 and cut off from American equipment, it nonetheless reached 14% of global bit shipments by the second quarter of 2026 — third in the world by volume, fifth by revenue, because its mix is weighted to low-priced consumer product (Counterpoint via XenoSpectrum, September 2026). Capital and sovereign patience were enough to buy in. Brand and firmware were not enough to keep it out.</w:t>
      </w:r>
    </w:p>
    <w:p>
      <w:pPr>
        <w:pStyle w:val="Heading2"/>
        <w:spacing w:after="180" w:before="180"/>
      </w:pPr>
      <w:r>
        <w:rPr>
          <w:rFonts w:ascii="Arial" w:cs="Arial" w:eastAsia="Arial" w:hAnsi="Arial"/>
          <w:b/>
          <w:bCs/>
          <w:color w:val="1F3864"/>
          <w:sz w:val="28"/>
          <w:szCs w:val="28"/>
        </w:rPr>
        <w:t xml:space="preserve">What would be hardest to reproduce</w:t>
      </w:r>
    </w:p>
    <w:p>
      <w:pPr>
        <w:spacing w:after="140" w:line="280"/>
      </w:pPr>
      <w:r>
        <w:rPr>
          <w:rFonts w:ascii="Arial" w:cs="Arial" w:eastAsia="Arial" w:hAnsi="Arial"/>
          <w:sz w:val="22"/>
          <w:szCs w:val="22"/>
        </w:rPr>
        <w:t xml:space="preserve">Sandisk's genuinely scarce asset is the Kioxia relationship itself. The two have co-invested in Yokkaichi and Kitakami for more than 25 years, have put more than $50 billion into Japan between them, and co-develop the BiCS process (Kioxia and Sandisk release, 27 August 2026). In January 2026 they extended all three venture entities to a common expiry of 31 December 2034 (FY2026 10-K). A well-funded competitor could buy fabs; it could not buy a 25-year joint process roadmap.</w:t>
      </w:r>
    </w:p>
    <w:p>
      <w:pPr>
        <w:spacing w:after="140" w:line="280"/>
      </w:pPr>
      <w:r>
        <w:rPr>
          <w:rFonts w:ascii="Arial" w:cs="Arial" w:eastAsia="Arial" w:hAnsi="Arial"/>
          <w:sz w:val="22"/>
          <w:szCs w:val="22"/>
        </w:rPr>
        <w:t xml:space="preserve">The same asset is also a dependency, and the terms of the extension say which way the balance tilts. Alongside it, Sandisk agreed to pay Kioxia </w:t>
      </w:r>
      <w:r>
        <w:rPr>
          <w:rFonts w:ascii="Arial" w:cs="Arial" w:eastAsia="Arial" w:hAnsi="Arial"/>
          <w:b/>
          <w:bCs/>
          <w:sz w:val="22"/>
          <w:szCs w:val="22"/>
        </w:rPr>
        <w:t xml:space="preserve">$1.2 billion over 2026 to 2029</w:t>
      </w:r>
      <w:r>
        <w:rPr>
          <w:rFonts w:ascii="Arial" w:cs="Arial" w:eastAsia="Arial" w:hAnsi="Arial"/>
          <w:sz w:val="22"/>
          <w:szCs w:val="22"/>
        </w:rPr>
        <w:t xml:space="preserve"> in consideration of Kioxia's manufacturing services and the continued availability of supply through 2034 (FY2026 10-K). A payment for continued availability is the shape of a supply contract, not of symmetric co-ownership. Sandisk is also contractually barred from manufacturing flash outside the venture or working with third-party fabs while it operates (spin-off prospectus, June 2025).</w:t>
      </w:r>
    </w:p>
    <w:p>
      <w:pPr>
        <w:pStyle w:val="Heading2"/>
        <w:spacing w:after="180" w:before="180"/>
      </w:pPr>
      <w:r>
        <w:rPr>
          <w:rFonts w:ascii="Arial" w:cs="Arial" w:eastAsia="Arial" w:hAnsi="Arial"/>
          <w:b/>
          <w:bCs/>
          <w:color w:val="1F3864"/>
          <w:sz w:val="28"/>
          <w:szCs w:val="28"/>
        </w:rPr>
        <w:t xml:space="preserve">Where the position is weakest</w:t>
      </w:r>
    </w:p>
    <w:p>
      <w:pPr>
        <w:spacing w:after="140" w:line="280"/>
      </w:pPr>
      <w:r>
        <w:rPr>
          <w:rFonts w:ascii="Arial" w:cs="Arial" w:eastAsia="Arial" w:hAnsi="Arial"/>
          <w:sz w:val="22"/>
          <w:szCs w:val="22"/>
        </w:rPr>
        <w:t xml:space="preserve">Datacenter is the segment Sandisk calls its growth pillar, and it is the segment where it is furthest behind. In the fourth quarter of calendar 2025, enterprise SSD revenue ran $3.66 billion at Samsung, $3.26 billion at the SK hynix group and $1.16 billion at Kioxia against $440 million at Sandisk — last of the five (TrendForce, 13 March 2026). Micron reported more than $5.0 billion of data-centre SSD revenue in a single quarter in mid-2026, roughly what Sandisk booked in Datacenter across its entire fiscal year (Micron FQ3 FY2026 earnings call). The direction of Sandisk's claim is right and the growth is real; the implied parity is not there yet.</w:t>
      </w:r>
    </w:p>
    <w:p>
      <w:pPr>
        <w:pStyle w:val="Heading2"/>
        <w:spacing w:after="180" w:before="180"/>
      </w:pPr>
      <w:r>
        <w:rPr>
          <w:rFonts w:ascii="Arial" w:cs="Arial" w:eastAsia="Arial" w:hAnsi="Arial"/>
          <w:b/>
          <w:bCs/>
          <w:color w:val="1F3864"/>
          <w:sz w:val="28"/>
          <w:szCs w:val="28"/>
        </w:rPr>
        <w:t xml:space="preserve">What kind of company wins here</w:t>
      </w:r>
    </w:p>
    <w:p>
      <w:pPr>
        <w:spacing w:after="140" w:line="280"/>
      </w:pPr>
      <w:r>
        <w:rPr>
          <w:rFonts w:ascii="Arial" w:cs="Arial" w:eastAsia="Arial" w:hAnsi="Arial"/>
          <w:sz w:val="22"/>
          <w:szCs w:val="22"/>
        </w:rPr>
        <w:t xml:space="preserve">The last downturn answers this plainly. Micron lost $5.8 billion in its fiscal 2023; SK hynix posted its first quarterly operating loss in a decade in the fourth quarter of 2022; Solidigm lost 3.3 trillion won in 2022 and a further 4 trillion in 2023, ending that year with negative equity; Kioxia's operating loss reached ¥252.7 billion in the year to March 2024. Samsung and SK hynix — the two with diversified memory and logic earnings to fund NAND through the trough — gained share throughout (Blocks &amp; Files citing TrendForce; company results). The winner in NAND is not the best firmware house. It is the producer with the lowest unit cost and a balance sheet that survives the years when unit cost is above price.</w:t>
      </w:r>
    </w:p>
    <w:p>
      <w:pPr>
        <w:spacing w:after="140" w:line="280"/>
      </w:pPr>
      <w:r>
        <w:rPr>
          <w:rFonts w:ascii="Arial" w:cs="Arial" w:eastAsia="Arial" w:hAnsi="Arial"/>
          <w:sz w:val="22"/>
          <w:szCs w:val="22"/>
        </w:rPr>
        <w:t xml:space="preserve">Sandisk is now half of that description. It ended FY2026 with no debt and $4.76 billion of cash, which is as strong a trough-survival position as it has ever had. It is not yet the other half: it is the smallest producer, it does not control its own cost curve, and it pays a fee for access to the one it uses.</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40" w:line="280"/>
      </w:pPr>
      <w:r>
        <w:rPr>
          <w:rFonts w:ascii="Arial" w:cs="Arial" w:eastAsia="Arial" w:hAnsi="Arial"/>
          <w:sz w:val="22"/>
          <w:szCs w:val="22"/>
        </w:rPr>
        <w:t xml:space="preserve">Sandisk made no acquisitions in FY2026. The only transaction of size was a $1.0 billion passive equity stake in Nanya Technology, which added no revenue. Reported growth and organic growth are therefore the same number: 175%. What follows decomposes that number, most to least impactful.</w:t>
      </w:r>
    </w:p>
    <w:p>
      <w:pPr>
        <w:pStyle w:val="ListParagraph"/>
        <w:numPr>
          <w:ilvl w:val="0"/>
          <w:numId w:val="2"/>
        </w:numPr>
        <w:spacing w:after="110" w:line="280"/>
      </w:pPr>
      <w:r>
        <w:rPr>
          <w:rFonts w:ascii="Arial" w:cs="Arial" w:eastAsia="Arial" w:hAnsi="Arial"/>
          <w:b/>
          <w:bCs/>
          <w:sz w:val="22"/>
          <w:szCs w:val="22"/>
        </w:rPr>
        <w:t xml:space="preserve">NAND price, and almost nothing else. </w:t>
      </w:r>
      <w:r>
        <w:rPr>
          <w:rFonts w:ascii="Arial" w:cs="Arial" w:eastAsia="Arial" w:hAnsi="Arial"/>
          <w:sz w:val="22"/>
          <w:szCs w:val="22"/>
        </w:rPr>
        <w:t xml:space="preserve">Revenue per gigabyte rose approximately 150% in Datacenter and 180% in Edge, while total bits sold rose only mid-teens percent (FY2026 10-K). Industry contract prices rose roughly 60% sequentially in the first quarter of calendar 2026 and 70–75% in the second, against a bit-supply deficit TrendForce puts at 4–5% for the year (TrendForce, 21 July 2026). </w:t>
      </w:r>
      <w:r>
        <w:rPr>
          <w:rFonts w:ascii="Arial" w:cs="Arial" w:eastAsia="Arial" w:hAnsi="Arial"/>
          <w:b/>
          <w:bCs/>
          <w:sz w:val="22"/>
          <w:szCs w:val="22"/>
        </w:rPr>
        <w:t xml:space="preserve">[cyclical]</w:t>
      </w:r>
    </w:p>
    <w:p>
      <w:pPr>
        <w:pStyle w:val="ListParagraph"/>
        <w:numPr>
          <w:ilvl w:val="0"/>
          <w:numId w:val="2"/>
        </w:numPr>
        <w:spacing w:after="110" w:line="280"/>
      </w:pPr>
      <w:r>
        <w:rPr>
          <w:rFonts w:ascii="Arial" w:cs="Arial" w:eastAsia="Arial" w:hAnsi="Arial"/>
          <w:b/>
          <w:bCs/>
          <w:sz w:val="22"/>
          <w:szCs w:val="22"/>
        </w:rPr>
        <w:t xml:space="preserve">Datacenter qualification. </w:t>
      </w:r>
      <w:r>
        <w:rPr>
          <w:rFonts w:ascii="Arial" w:cs="Arial" w:eastAsia="Arial" w:hAnsi="Arial"/>
          <w:sz w:val="22"/>
          <w:szCs w:val="22"/>
        </w:rPr>
        <w:t xml:space="preserve">Datacenter revenue ran $269 million, $440 million, $1,467 million and $2,977 million across the four quarters of FY2026. At the start of the year two hyperscalers were in qualification, with a third and a top storage OEM planned for calendar 2026 and engagement underway with five (FQ1 FY2026 release). Qualification takes quarters and, once granted, is not casually revisited — this is the one lever that would still be pushing if the price stopped. </w:t>
      </w:r>
      <w:r>
        <w:rPr>
          <w:rFonts w:ascii="Arial" w:cs="Arial" w:eastAsia="Arial" w:hAnsi="Arial"/>
          <w:b/>
          <w:bCs/>
          <w:sz w:val="22"/>
          <w:szCs w:val="22"/>
        </w:rPr>
        <w:t xml:space="preserve">[structural / management-driven]</w:t>
      </w:r>
    </w:p>
    <w:p>
      <w:pPr>
        <w:pStyle w:val="ListParagraph"/>
        <w:numPr>
          <w:ilvl w:val="0"/>
          <w:numId w:val="2"/>
        </w:numPr>
        <w:spacing w:after="110" w:line="280"/>
      </w:pPr>
      <w:r>
        <w:rPr>
          <w:rFonts w:ascii="Arial" w:cs="Arial" w:eastAsia="Arial" w:hAnsi="Arial"/>
          <w:b/>
          <w:bCs/>
          <w:sz w:val="22"/>
          <w:szCs w:val="22"/>
        </w:rPr>
        <w:t xml:space="preserve">Reallocating bits out of Consumer. </w:t>
      </w:r>
      <w:r>
        <w:rPr>
          <w:rFonts w:ascii="Arial" w:cs="Arial" w:eastAsia="Arial" w:hAnsi="Arial"/>
          <w:sz w:val="22"/>
          <w:szCs w:val="22"/>
        </w:rPr>
        <w:t xml:space="preserve">A fixed bit pool moved toward the highest-priced end market, as Section 2 describes. It flatters revenue growth without adding a gigabyte of supply, and it reverses when the price spread narrows. </w:t>
      </w:r>
      <w:r>
        <w:rPr>
          <w:rFonts w:ascii="Arial" w:cs="Arial" w:eastAsia="Arial" w:hAnsi="Arial"/>
          <w:b/>
          <w:bCs/>
          <w:sz w:val="22"/>
          <w:szCs w:val="22"/>
        </w:rPr>
        <w:t xml:space="preserve">[management-driven]</w:t>
      </w:r>
    </w:p>
    <w:p>
      <w:pPr>
        <w:pStyle w:val="ListParagraph"/>
        <w:numPr>
          <w:ilvl w:val="0"/>
          <w:numId w:val="2"/>
        </w:numPr>
        <w:spacing w:after="110" w:line="280"/>
      </w:pPr>
      <w:r>
        <w:rPr>
          <w:rFonts w:ascii="Arial" w:cs="Arial" w:eastAsia="Arial" w:hAnsi="Arial"/>
          <w:b/>
          <w:bCs/>
          <w:sz w:val="22"/>
          <w:szCs w:val="22"/>
        </w:rPr>
        <w:t xml:space="preserve">Long-term customer agreements. </w:t>
      </w:r>
      <w:r>
        <w:rPr>
          <w:rFonts w:ascii="Arial" w:cs="Arial" w:eastAsia="Arial" w:hAnsi="Arial"/>
          <w:sz w:val="22"/>
          <w:szCs w:val="22"/>
        </w:rPr>
        <w:t xml:space="preserve">Sandisk began entering what it calls New Business Model agreements in fiscal 2026 with several Datacenter and Edge customers — multi-year committed volumes at fixed or variable prices, supported by customer financial guarantees including cash deposits, and stated as intended to reduce certain elements of industry cyclicality. After the FY2026 year-end it signed two more, with an aggregate transaction price of $31.3 billion (FY2026 10-K). If these contracts hold price and volume through a downturn they change the character of the business more than any other item in this document. Their terms are not disclosed. </w:t>
      </w:r>
      <w:r>
        <w:rPr>
          <w:rFonts w:ascii="Arial" w:cs="Arial" w:eastAsia="Arial" w:hAnsi="Arial"/>
          <w:b/>
          <w:bCs/>
          <w:sz w:val="22"/>
          <w:szCs w:val="22"/>
        </w:rPr>
        <w:t xml:space="preserve">[structural, unproven]</w:t>
      </w:r>
    </w:p>
    <w:p>
      <w:pPr>
        <w:pStyle w:val="ListParagraph"/>
        <w:numPr>
          <w:ilvl w:val="0"/>
          <w:numId w:val="2"/>
        </w:numPr>
        <w:spacing w:after="110" w:line="280"/>
      </w:pPr>
      <w:r>
        <w:rPr>
          <w:rFonts w:ascii="Arial" w:cs="Arial" w:eastAsia="Arial" w:hAnsi="Arial"/>
          <w:b/>
          <w:bCs/>
          <w:sz w:val="22"/>
          <w:szCs w:val="22"/>
        </w:rPr>
        <w:t xml:space="preserve">Bit growth from node transition. </w:t>
      </w:r>
      <w:r>
        <w:rPr>
          <w:rFonts w:ascii="Arial" w:cs="Arial" w:eastAsia="Arial" w:hAnsi="Arial"/>
          <w:sz w:val="22"/>
          <w:szCs w:val="22"/>
        </w:rPr>
        <w:t xml:space="preserve">BiCS8 was 15% of bits shipped at the start of FY2026 and was expected to be the majority of bit production by year-end (FQ1 FY2026 release). Denser nodes lower cost per bit and add supply, but they add it to the whole industry at roughly the same time. </w:t>
      </w:r>
      <w:r>
        <w:rPr>
          <w:rFonts w:ascii="Arial" w:cs="Arial" w:eastAsia="Arial" w:hAnsi="Arial"/>
          <w:b/>
          <w:bCs/>
          <w:sz w:val="22"/>
          <w:szCs w:val="22"/>
        </w:rPr>
        <w:t xml:space="preserve">[structural, slow]</w:t>
      </w:r>
    </w:p>
    <w:p>
      <w:pPr>
        <w:pStyle w:val="ListParagraph"/>
        <w:numPr>
          <w:ilvl w:val="0"/>
          <w:numId w:val="2"/>
        </w:numPr>
        <w:spacing w:after="110" w:line="280"/>
      </w:pPr>
      <w:r>
        <w:rPr>
          <w:rFonts w:ascii="Arial" w:cs="Arial" w:eastAsia="Arial" w:hAnsi="Arial"/>
          <w:b/>
          <w:bCs/>
          <w:sz w:val="22"/>
          <w:szCs w:val="22"/>
        </w:rPr>
        <w:t xml:space="preserve">Lower price-protection accruals. </w:t>
      </w:r>
      <w:r>
        <w:rPr>
          <w:rFonts w:ascii="Arial" w:cs="Arial" w:eastAsia="Arial" w:hAnsi="Arial"/>
          <w:sz w:val="22"/>
          <w:szCs w:val="22"/>
        </w:rPr>
        <w:t xml:space="preserve">The eight-point reduction described in Section 2 is a consequence of the price environment, not a separate achievement, and unwinds with it. </w:t>
      </w:r>
      <w:r>
        <w:rPr>
          <w:rFonts w:ascii="Arial" w:cs="Arial" w:eastAsia="Arial" w:hAnsi="Arial"/>
          <w:b/>
          <w:bCs/>
          <w:sz w:val="22"/>
          <w:szCs w:val="22"/>
        </w:rPr>
        <w:t xml:space="preserve">[temporary]</w:t>
      </w:r>
    </w:p>
    <w:p>
      <w:pPr>
        <w:spacing w:after="140" w:line="280"/>
      </w:pPr>
      <w:r>
        <w:rPr>
          <w:rFonts w:ascii="Arial" w:cs="Arial" w:eastAsia="Arial" w:hAnsi="Arial"/>
          <w:sz w:val="22"/>
          <w:szCs w:val="22"/>
        </w:rPr>
        <w:t xml:space="preserve">One item sits outside the ranking because it produces no revenue yet. In August 2026 Sandisk and SK hynix published the first technical specification for High Bandwidth Flash through the Open Compute Project, six months after forming the consortium (Sandisk release, 3 August 2026). The idea is to place flash close to the compute die for AI inference, where model sizes have outgrown high-bandwidth memory capacity. No bandwidth figures, capacity figures, sampling date or production date have been disclosed. It is worth watching precisely because it would move Sandisk out of the commodity bit market, and worth discounting until any of those numbers exists.</w:t>
      </w:r>
    </w:p>
    <w:p>
      <w:r>
        <w:br w:type="page"/>
      </w:r>
    </w:p>
    <w:p>
      <w:pPr>
        <w:pStyle w:val="Heading1"/>
        <w:spacing w:after="200" w:before="360"/>
      </w:pPr>
      <w:r>
        <w:rPr>
          <w:rFonts w:ascii="Arial" w:cs="Arial" w:eastAsia="Arial" w:hAnsi="Arial"/>
          <w:b/>
          <w:bCs/>
          <w:color w:val="1F3864"/>
          <w:sz w:val="32"/>
          <w:szCs w:val="32"/>
        </w:rPr>
        <w:t xml:space="preserve">5. Margin, Cash and Capital Allocation</w:t>
      </w:r>
    </w:p>
    <w:p>
      <w:pPr>
        <w:spacing w:after="140" w:line="280"/>
      </w:pPr>
      <w:r>
        <w:rPr>
          <w:rFonts w:ascii="Arial" w:cs="Arial" w:eastAsia="Arial" w:hAnsi="Arial"/>
          <w:sz w:val="22"/>
          <w:szCs w:val="22"/>
        </w:rPr>
        <w:t xml:space="preserve">The single most important number in Sandisk's FY2026 accounts is not the revenue growth. It is that cost of revenue rose 12%, from $5,143 million to $5,776 million, while revenue rose 175% (FY2026 10-K). Gross profit therefore captured 95 cents of every incremental dollar of revenue.</w:t>
      </w:r>
    </w:p>
    <w:p>
      <w:pPr>
        <w:spacing w:after="140" w:line="280"/>
      </w:pPr>
      <w:r>
        <w:rPr>
          <w:rFonts w:ascii="Arial" w:cs="Arial" w:eastAsia="Arial" w:hAnsi="Arial"/>
          <w:sz w:val="22"/>
          <w:szCs w:val="22"/>
        </w:rPr>
        <w:t xml:space="preserve">That is not operational excellence; it is the structure described in Section 2 working in the company's favour. Wafers are bought at Flash Ventures' cost plus a small markup, so the input price is indifferent to the market price of the output. Half of the venture's fixed costs are owed regardless of volume, so once those are covered, incremental revenue meets almost no incremental cost. The corollary is uncomfortable and is the reason this section exists: the same 95% applies on the way down.</w:t>
      </w:r>
    </w:p>
    <w:p>
      <w:pPr>
        <w:pStyle w:val="Heading2"/>
        <w:spacing w:after="180" w:before="180"/>
      </w:pPr>
      <w:r>
        <w:rPr>
          <w:rFonts w:ascii="Arial" w:cs="Arial" w:eastAsia="Arial" w:hAnsi="Arial"/>
          <w:b/>
          <w:bCs/>
          <w:color w:val="1F3864"/>
          <w:sz w:val="28"/>
          <w:szCs w:val="28"/>
        </w:rPr>
        <w:t xml:space="preserve">The financial spine</w:t>
      </w:r>
    </w:p>
    <w:tbl>
      <w:tblPr>
        <w:tblW w:type="dxa" w:w="9360"/>
        <w:tblBorders>
          <w:top w:val="single" w:color="C9C9C9" w:sz="4"/>
          <w:left w:val="single" w:color="C9C9C9" w:sz="4"/>
          <w:bottom w:val="single" w:color="C9C9C9" w:sz="4"/>
          <w:right w:val="single" w:color="C9C9C9" w:sz="4"/>
          <w:insideH w:val="single" w:color="C9C9C9" w:sz="2"/>
          <w:insideV w:val="single" w:color="C9C9C9" w:sz="2"/>
        </w:tblBorders>
      </w:tblPr>
      <w:tblGrid>
        <w:gridCol w:w="2160"/>
        <w:gridCol w:w="1800"/>
        <w:gridCol w:w="1800"/>
        <w:gridCol w:w="1800"/>
        <w:gridCol w:w="1800"/>
      </w:tblGrid>
      <w:tr>
        <w:trPr>
          <w:tblHeader/>
        </w:trPr>
        <w:tc>
          <w:tcPr>
            <w:tcW w:type="dxa" w:w="216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 millions</w:t>
            </w:r>
          </w:p>
        </w:tc>
        <w:tc>
          <w:tcPr>
            <w:tcW w:type="dxa" w:w="180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FY2023</w:t>
            </w:r>
          </w:p>
        </w:tc>
        <w:tc>
          <w:tcPr>
            <w:tcW w:type="dxa" w:w="180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FY2024</w:t>
            </w:r>
          </w:p>
        </w:tc>
        <w:tc>
          <w:tcPr>
            <w:tcW w:type="dxa" w:w="180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FY2025</w:t>
            </w:r>
          </w:p>
        </w:tc>
        <w:tc>
          <w:tcPr>
            <w:tcW w:type="dxa" w:w="180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FY2026</w:t>
            </w:r>
          </w:p>
        </w:tc>
      </w:tr>
      <w:tr>
        <w:trPr>
          <w:tblHeader w:val="false"/>
        </w:trPr>
        <w:tc>
          <w:tcPr>
            <w:tcW w:type="dxa" w:w="21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Revenue</w:t>
            </w:r>
          </w:p>
        </w:tc>
        <w:tc>
          <w:tcPr>
            <w:tcW w:type="dxa" w:w="180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6,086</w:t>
            </w:r>
          </w:p>
        </w:tc>
        <w:tc>
          <w:tcPr>
            <w:tcW w:type="dxa" w:w="180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6,663</w:t>
            </w:r>
          </w:p>
        </w:tc>
        <w:tc>
          <w:tcPr>
            <w:tcW w:type="dxa" w:w="180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7,355</w:t>
            </w:r>
          </w:p>
        </w:tc>
        <w:tc>
          <w:tcPr>
            <w:tcW w:type="dxa" w:w="180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20,248</w:t>
            </w:r>
          </w:p>
        </w:tc>
      </w:tr>
      <w:tr>
        <w:trPr>
          <w:tblHeader w:val="false"/>
        </w:trPr>
        <w:tc>
          <w:tcPr>
            <w:tcW w:type="dxa" w:w="216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Gross margin</w:t>
            </w:r>
          </w:p>
        </w:tc>
        <w:tc>
          <w:tcPr>
            <w:tcW w:type="dxa" w:w="180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7.1%</w:t>
            </w:r>
          </w:p>
        </w:tc>
        <w:tc>
          <w:tcPr>
            <w:tcW w:type="dxa" w:w="180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16.1%</w:t>
            </w:r>
          </w:p>
        </w:tc>
        <w:tc>
          <w:tcPr>
            <w:tcW w:type="dxa" w:w="180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30.1%</w:t>
            </w:r>
          </w:p>
        </w:tc>
        <w:tc>
          <w:tcPr>
            <w:tcW w:type="dxa" w:w="180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71.5%</w:t>
            </w:r>
          </w:p>
        </w:tc>
      </w:tr>
      <w:tr>
        <w:trPr>
          <w:tblHeader w:val="false"/>
        </w:trPr>
        <w:tc>
          <w:tcPr>
            <w:tcW w:type="dxa" w:w="21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Operating income / (loss)</w:t>
            </w:r>
          </w:p>
        </w:tc>
        <w:tc>
          <w:tcPr>
            <w:tcW w:type="dxa" w:w="180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(2,035)</w:t>
            </w:r>
          </w:p>
        </w:tc>
        <w:tc>
          <w:tcPr>
            <w:tcW w:type="dxa" w:w="180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(468)</w:t>
            </w:r>
          </w:p>
        </w:tc>
        <w:tc>
          <w:tcPr>
            <w:tcW w:type="dxa" w:w="180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(1,377)</w:t>
            </w:r>
          </w:p>
        </w:tc>
        <w:tc>
          <w:tcPr>
            <w:tcW w:type="dxa" w:w="180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12,389</w:t>
            </w:r>
          </w:p>
        </w:tc>
      </w:tr>
      <w:tr>
        <w:trPr>
          <w:tblHeader w:val="false"/>
        </w:trPr>
        <w:tc>
          <w:tcPr>
            <w:tcW w:type="dxa" w:w="216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Net income / (loss)</w:t>
            </w:r>
          </w:p>
        </w:tc>
        <w:tc>
          <w:tcPr>
            <w:tcW w:type="dxa" w:w="180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(2,143)</w:t>
            </w:r>
          </w:p>
        </w:tc>
        <w:tc>
          <w:tcPr>
            <w:tcW w:type="dxa" w:w="180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(672)</w:t>
            </w:r>
          </w:p>
        </w:tc>
        <w:tc>
          <w:tcPr>
            <w:tcW w:type="dxa" w:w="180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(1,641)</w:t>
            </w:r>
          </w:p>
        </w:tc>
        <w:tc>
          <w:tcPr>
            <w:tcW w:type="dxa" w:w="180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11,433</w:t>
            </w:r>
          </w:p>
        </w:tc>
      </w:tr>
      <w:tr>
        <w:trPr>
          <w:tblHeader w:val="false"/>
        </w:trPr>
        <w:tc>
          <w:tcPr>
            <w:tcW w:type="dxa" w:w="21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Operating cash flow</w:t>
            </w:r>
          </w:p>
        </w:tc>
        <w:tc>
          <w:tcPr>
            <w:tcW w:type="dxa" w:w="180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(713)</w:t>
            </w:r>
          </w:p>
        </w:tc>
        <w:tc>
          <w:tcPr>
            <w:tcW w:type="dxa" w:w="180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(309)</w:t>
            </w:r>
          </w:p>
        </w:tc>
        <w:tc>
          <w:tcPr>
            <w:tcW w:type="dxa" w:w="180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84</w:t>
            </w:r>
          </w:p>
        </w:tc>
        <w:tc>
          <w:tcPr>
            <w:tcW w:type="dxa" w:w="180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11,671</w:t>
            </w:r>
          </w:p>
        </w:tc>
      </w:tr>
      <w:tr>
        <w:trPr>
          <w:tblHeader w:val="false"/>
        </w:trPr>
        <w:tc>
          <w:tcPr>
            <w:tcW w:type="dxa" w:w="216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Own-account capital expenditure</w:t>
            </w:r>
          </w:p>
        </w:tc>
        <w:tc>
          <w:tcPr>
            <w:tcW w:type="dxa" w:w="180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219</w:t>
            </w:r>
          </w:p>
        </w:tc>
        <w:tc>
          <w:tcPr>
            <w:tcW w:type="dxa" w:w="180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166</w:t>
            </w:r>
          </w:p>
        </w:tc>
        <w:tc>
          <w:tcPr>
            <w:tcW w:type="dxa" w:w="180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204</w:t>
            </w:r>
          </w:p>
        </w:tc>
        <w:tc>
          <w:tcPr>
            <w:tcW w:type="dxa" w:w="180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177</w:t>
            </w:r>
          </w:p>
        </w:tc>
      </w:tr>
    </w:tbl>
    <w:p>
      <w:pPr>
        <w:spacing w:after="180" w:before="120"/>
      </w:pPr>
      <w:r>
        <w:rPr>
          <w:rFonts w:ascii="Arial" w:cs="Arial" w:eastAsia="Arial" w:hAnsi="Arial"/>
          <w:i/>
          <w:iCs/>
          <w:color w:val="595959"/>
          <w:sz w:val="18"/>
          <w:szCs w:val="18"/>
        </w:rPr>
        <w:t xml:space="preserve">Sources: FY2025 10-K and FY2026 10-K. Comparability warnings: FY2023 and FY2024 are carve-out financial statements prepared while the business was a segment of Western Digital, and standalone statements were not historically prepared; FY2025 is part carve-out and part standalone, the spin-off having occurred on 21 February 2025; FY2026 was a 53-week year. The FY2023 operating loss includes a $671 million goodwill impairment and the FY2025 loss a further $1,830 million. A trend line drawn straight across these four columns crosses two different reporting entities.</w:t>
      </w:r>
    </w:p>
    <w:p>
      <w:pPr>
        <w:pStyle w:val="Heading2"/>
        <w:spacing w:after="180" w:before="180"/>
      </w:pPr>
      <w:r>
        <w:rPr>
          <w:rFonts w:ascii="Arial" w:cs="Arial" w:eastAsia="Arial" w:hAnsi="Arial"/>
          <w:b/>
          <w:bCs/>
          <w:color w:val="1F3864"/>
          <w:sz w:val="28"/>
          <w:szCs w:val="28"/>
        </w:rPr>
        <w:t xml:space="preserve">Why the capital expenditure line is misleading</w:t>
      </w:r>
    </w:p>
    <w:p>
      <w:pPr>
        <w:spacing w:after="140" w:line="280"/>
      </w:pPr>
      <w:r>
        <w:rPr>
          <w:rFonts w:ascii="Arial" w:cs="Arial" w:eastAsia="Arial" w:hAnsi="Arial"/>
          <w:sz w:val="22"/>
          <w:szCs w:val="22"/>
        </w:rPr>
        <w:t xml:space="preserve">Own-account capex of $177 million is 0.9% of revenue, which is not a plausible figure for a semiconductor manufacturer. It is accurate but incomplete: the fab capital sits inside Flash Ventures, funded by the venture's own cash flow and by sale-and-leaseback equipment financing that Sandisk guarantees half of. That guarantee stood at ¥149.0 billion, or $923.0 million, at the FY2026 year-end, down from $1,404 million a year earlier (FY2026 and FY2025 10-Ks).</w:t>
      </w:r>
    </w:p>
    <w:p>
      <w:pPr>
        <w:spacing w:after="140" w:line="280"/>
      </w:pPr>
      <w:r>
        <w:rPr>
          <w:rFonts w:ascii="Arial" w:cs="Arial" w:eastAsia="Arial" w:hAnsi="Arial"/>
          <w:sz w:val="22"/>
          <w:szCs w:val="22"/>
        </w:rPr>
        <w:t xml:space="preserve">The honest measure of what the venture costs is the commitments table. Flash Ventures related commitments totalled $6,559 million at the FY2026 year-end, of which $2,627 million falls due in FY2027, within total material cash requirements of $11,760 million (FY2026 10-K). Sandisk's maximum estimable loss exposure to the venture — notes receivable, equity, lease guarantees and inventory and prepayments together — was $2,897 million. And Flash Ventures itself is not a profitable entity: it recorded net sales of $2,775 million against a gross loss of $93 million and a net loss of $85 million in FY2026, of which Sandisk's share flowed through as a $160 million equity loss net of dividends.</w:t>
      </w:r>
    </w:p>
    <w:p>
      <w:pPr>
        <w:spacing w:after="140" w:line="280"/>
      </w:pPr>
      <w:r>
        <w:rPr>
          <w:rFonts w:ascii="Arial" w:cs="Arial" w:eastAsia="Arial" w:hAnsi="Arial"/>
          <w:sz w:val="22"/>
          <w:szCs w:val="22"/>
        </w:rPr>
        <w:t xml:space="preserve">The venture's fixed-cost obligation has a visible price in bad years. Charges for reduced utilisation of Sandisk's share of capacity, booked into cost of revenue, ran $249 million in FY2024, $75 million in FY2025 and $11 million in FY2026 (FY2026 10-K). Read backwards, that series is what the current margin structure looks like when the price is wrong.</w:t>
      </w:r>
    </w:p>
    <w:p>
      <w:pPr>
        <w:pStyle w:val="Heading2"/>
        <w:spacing w:after="180" w:before="180"/>
      </w:pPr>
      <w:r>
        <w:rPr>
          <w:rFonts w:ascii="Arial" w:cs="Arial" w:eastAsia="Arial" w:hAnsi="Arial"/>
          <w:b/>
          <w:bCs/>
          <w:color w:val="1F3864"/>
          <w:sz w:val="28"/>
          <w:szCs w:val="28"/>
        </w:rPr>
        <w:t xml:space="preserve">Where the cash went</w:t>
      </w:r>
    </w:p>
    <w:p>
      <w:pPr>
        <w:spacing w:after="140" w:line="280"/>
      </w:pPr>
      <w:r>
        <w:rPr>
          <w:rFonts w:ascii="Arial" w:cs="Arial" w:eastAsia="Arial" w:hAnsi="Arial"/>
          <w:sz w:val="22"/>
          <w:szCs w:val="22"/>
        </w:rPr>
        <w:t xml:space="preserve">FY2026 was the first year Sandisk had any real cash to allocate, and the order it chose is informative:</w:t>
      </w:r>
    </w:p>
    <w:p>
      <w:pPr>
        <w:pStyle w:val="ListParagraph"/>
        <w:numPr>
          <w:ilvl w:val="0"/>
          <w:numId w:val="2"/>
        </w:numPr>
        <w:spacing w:after="110" w:line="280"/>
      </w:pPr>
      <w:r>
        <w:rPr>
          <w:rFonts w:ascii="Arial" w:cs="Arial" w:eastAsia="Arial" w:hAnsi="Arial"/>
          <w:sz w:val="22"/>
          <w:szCs w:val="22"/>
        </w:rPr>
        <w:t xml:space="preserve">Share repurchases, $4,524 million — roughly 3 million shares. A $6.0 billion programme was authorised on 30 April 2026, of which $1.5 billion remained at year-end; a further $14.0 billion was authorised on 5 August 2026, taking total authorisation to $20.0 billion (FY2026 10-K).</w:t>
      </w:r>
    </w:p>
    <w:p>
      <w:pPr>
        <w:pStyle w:val="ListParagraph"/>
        <w:numPr>
          <w:ilvl w:val="0"/>
          <w:numId w:val="2"/>
        </w:numPr>
        <w:spacing w:after="110" w:line="280"/>
      </w:pPr>
      <w:r>
        <w:rPr>
          <w:rFonts w:ascii="Arial" w:cs="Arial" w:eastAsia="Arial" w:hAnsi="Arial"/>
          <w:sz w:val="22"/>
          <w:szCs w:val="22"/>
        </w:rPr>
        <w:t xml:space="preserve">Debt repayment, $1,900 million — the Term Loan B taken on at separation was settled in full on 4 March 2026 at a $46 million extinguishment loss. Total debt was zero at year-end against $1,849 million a year earlier, with the $1.5 billion revolver undrawn.</w:t>
      </w:r>
    </w:p>
    <w:p>
      <w:pPr>
        <w:pStyle w:val="ListParagraph"/>
        <w:numPr>
          <w:ilvl w:val="0"/>
          <w:numId w:val="2"/>
        </w:numPr>
        <w:spacing w:after="110" w:line="280"/>
      </w:pPr>
      <w:r>
        <w:rPr>
          <w:rFonts w:ascii="Arial" w:cs="Arial" w:eastAsia="Arial" w:hAnsi="Arial"/>
          <w:sz w:val="22"/>
          <w:szCs w:val="22"/>
        </w:rPr>
        <w:t xml:space="preserve">A $1.0 billion equity stake in Nanya Technology, taken on 25 March 2026 — approximately 139 million shares, about 3.9% of Nanya fully diluted, at a 15% discount to the 30-day average price with a three-year lock-up, alongside a multi-year DRAM supply agreement. It produced an $808 million mark-to-market gain in FY2026 non-operating income (FY2026 10-K).</w:t>
      </w:r>
    </w:p>
    <w:p>
      <w:pPr>
        <w:pStyle w:val="ListParagraph"/>
        <w:numPr>
          <w:ilvl w:val="0"/>
          <w:numId w:val="2"/>
        </w:numPr>
        <w:spacing w:after="110" w:line="280"/>
      </w:pPr>
      <w:r>
        <w:rPr>
          <w:rFonts w:ascii="Arial" w:cs="Arial" w:eastAsia="Arial" w:hAnsi="Arial"/>
          <w:sz w:val="22"/>
          <w:szCs w:val="22"/>
        </w:rPr>
        <w:t xml:space="preserve">Taxes paid on vested employee equity, $630 million; own-account capital expenditure, $177 million; no dividend, and none intended.</w:t>
      </w:r>
    </w:p>
    <w:p>
      <w:pPr>
        <w:spacing w:after="140" w:line="280"/>
      </w:pPr>
      <w:r>
        <w:rPr>
          <w:rFonts w:ascii="Arial" w:cs="Arial" w:eastAsia="Arial" w:hAnsi="Arial"/>
          <w:sz w:val="22"/>
          <w:szCs w:val="22"/>
        </w:rPr>
        <w:t xml:space="preserve">The ranking describes a management team that spent its first profitable year buying back its own equity and buying certainty of supply, rather than buying capacity. Note also what the incentive plan pays for: the FY2026 bonus is weighted 50% to non-GAAP operating income and margin, 25% to adjusted free cash flow and 25% to strategy measures including net debt, consumer net revenue and data-centre market share, while the annual performance shares are split evenly between revenue and earnings per share (2025 proxy). None of those measures is a return on the capital employed inside Flash Ventures.</w:t>
      </w:r>
    </w:p>
    <w:p>
      <w:pPr>
        <w:pStyle w:val="Heading2"/>
        <w:spacing w:after="180" w:before="180"/>
      </w:pPr>
      <w:r>
        <w:rPr>
          <w:rFonts w:ascii="Arial" w:cs="Arial" w:eastAsia="Arial" w:hAnsi="Arial"/>
          <w:b/>
          <w:bCs/>
          <w:color w:val="1F3864"/>
          <w:sz w:val="28"/>
          <w:szCs w:val="28"/>
        </w:rPr>
        <w:t xml:space="preserve">Three commitments that post-date the reported figures</w:t>
      </w:r>
    </w:p>
    <w:p>
      <w:pPr>
        <w:spacing w:after="140" w:line="280"/>
      </w:pPr>
      <w:r>
        <w:rPr>
          <w:rFonts w:ascii="Arial" w:cs="Arial" w:eastAsia="Arial" w:hAnsi="Arial"/>
          <w:sz w:val="22"/>
          <w:szCs w:val="22"/>
        </w:rPr>
        <w:t xml:space="preserve">The FY2026 accounts close on 3 July 2026. Three things have happened since that change the picture and appear in none of the numbers above. The $14.0 billion buyback authorisation of 5 August 2026 is the first. The two additional long-term customer agreements, with an aggregate transaction price of $31.3 billion, are the second (FY2026 10-K, subsequent events).</w:t>
      </w:r>
    </w:p>
    <w:p>
      <w:pPr>
        <w:spacing w:after="140" w:line="280"/>
      </w:pPr>
      <w:r>
        <w:rPr>
          <w:rFonts w:ascii="Arial" w:cs="Arial" w:eastAsia="Arial" w:hAnsi="Arial"/>
          <w:sz w:val="22"/>
          <w:szCs w:val="22"/>
        </w:rPr>
        <w:t xml:space="preserve">The third is the largest. On 27 August 2026 Kioxia and Sandisk jointly committed </w:t>
      </w:r>
      <w:r>
        <w:rPr>
          <w:rFonts w:ascii="Arial" w:cs="Arial" w:eastAsia="Arial" w:hAnsi="Arial"/>
          <w:b/>
          <w:bCs/>
          <w:sz w:val="22"/>
          <w:szCs w:val="22"/>
        </w:rPr>
        <w:t xml:space="preserve">more than $31 billion, approximately ¥5 trillion, through 2032</w:t>
      </w:r>
      <w:r>
        <w:rPr>
          <w:rFonts w:ascii="Arial" w:cs="Arial" w:eastAsia="Arial" w:hAnsi="Arial"/>
          <w:sz w:val="22"/>
          <w:szCs w:val="22"/>
        </w:rPr>
        <w:t xml:space="preserve"> to build out the Yokkaichi and Kitakami plants and drive multi-year bit growth. The split between the two partners was not disclosed; on the venture's 49.9/50.1 structure roughly half would fall to Sandisk, which is an inference and not a stated figure. Against FY2026 free cash flow of $11.5 billion an obligation of that order is comfortably affordable. Against FY2023's operating cash outflow of $713 million it would not be, and fab commitments are made years before the bits they produce are priced.</w:t>
      </w:r>
    </w:p>
    <w:p>
      <w:r>
        <w:br w:type="page"/>
      </w:r>
    </w:p>
    <w:p>
      <w:pPr>
        <w:pStyle w:val="Heading1"/>
        <w:spacing w:after="200" w:before="360"/>
      </w:pPr>
      <w:r>
        <w:rPr>
          <w:rFonts w:ascii="Arial" w:cs="Arial" w:eastAsia="Arial" w:hAnsi="Arial"/>
          <w:b/>
          <w:bCs/>
          <w:color w:val="1F3864"/>
          <w:sz w:val="32"/>
          <w:szCs w:val="32"/>
        </w:rPr>
        <w:t xml:space="preserve">6. Cyclicality, Constraints and What to Monitor</w:t>
      </w:r>
    </w:p>
    <w:p>
      <w:pPr>
        <w:spacing w:after="140" w:line="280"/>
      </w:pPr>
      <w:r>
        <w:rPr>
          <w:rFonts w:ascii="Arial" w:cs="Arial" w:eastAsia="Arial" w:hAnsi="Arial"/>
          <w:sz w:val="22"/>
          <w:szCs w:val="22"/>
        </w:rPr>
        <w:t xml:space="preserve">Sandisk sells a commodity whose price has moved by a factor of ten within five quarters. Any assessment of the business has to start from where in that movement it currently stands.</w:t>
      </w:r>
    </w:p>
    <w:p>
      <w:pPr>
        <w:pStyle w:val="Heading2"/>
        <w:spacing w:after="180" w:before="180"/>
      </w:pPr>
      <w:r>
        <w:rPr>
          <w:rFonts w:ascii="Arial" w:cs="Arial" w:eastAsia="Arial" w:hAnsi="Arial"/>
          <w:b/>
          <w:bCs/>
          <w:color w:val="1F3864"/>
          <w:sz w:val="28"/>
          <w:szCs w:val="28"/>
        </w:rPr>
        <w:t xml:space="preserve">Six quarters, and what they show</w:t>
      </w:r>
    </w:p>
    <w:tbl>
      <w:tblPr>
        <w:tblW w:type="dxa" w:w="9360"/>
        <w:tblBorders>
          <w:top w:val="single" w:color="C9C9C9" w:sz="4"/>
          <w:left w:val="single" w:color="C9C9C9" w:sz="4"/>
          <w:bottom w:val="single" w:color="C9C9C9" w:sz="4"/>
          <w:right w:val="single" w:color="C9C9C9" w:sz="4"/>
          <w:insideH w:val="single" w:color="C9C9C9" w:sz="2"/>
          <w:insideV w:val="single" w:color="C9C9C9" w:sz="2"/>
        </w:tblBorders>
      </w:tblPr>
      <w:tblGrid>
        <w:gridCol w:w="1872"/>
        <w:gridCol w:w="1560"/>
        <w:gridCol w:w="1560"/>
        <w:gridCol w:w="1560"/>
        <w:gridCol w:w="1404"/>
        <w:gridCol w:w="1404"/>
      </w:tblGrid>
      <w:tr>
        <w:trPr>
          <w:tblHeader/>
        </w:trPr>
        <w:tc>
          <w:tcPr>
            <w:tcW w:type="dxa" w:w="1872"/>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Fiscal quarter</w:t>
            </w:r>
          </w:p>
        </w:tc>
        <w:tc>
          <w:tcPr>
            <w:tcW w:type="dxa" w:w="156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Revenue</w:t>
            </w:r>
          </w:p>
        </w:tc>
        <w:tc>
          <w:tcPr>
            <w:tcW w:type="dxa" w:w="156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Gross margin</w:t>
            </w:r>
          </w:p>
        </w:tc>
        <w:tc>
          <w:tcPr>
            <w:tcW w:type="dxa" w:w="156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Operating income</w:t>
            </w:r>
          </w:p>
        </w:tc>
        <w:tc>
          <w:tcPr>
            <w:tcW w:type="dxa" w:w="1404"/>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Diluted EPS</w:t>
            </w:r>
          </w:p>
        </w:tc>
        <w:tc>
          <w:tcPr>
            <w:tcW w:type="dxa" w:w="1404"/>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Datacenter</w:t>
            </w:r>
          </w:p>
        </w:tc>
      </w:tr>
      <w:tr>
        <w:trPr>
          <w:tblHeader w:val="false"/>
        </w:trPr>
        <w:tc>
          <w:tcPr>
            <w:tcW w:type="dxa" w:w="1872"/>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FQ3 FY2025 (28 Mar 25)</w:t>
            </w:r>
          </w:p>
        </w:tc>
        <w:tc>
          <w:tcPr>
            <w:tcW w:type="dxa" w:w="156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$1,695M</w:t>
            </w:r>
          </w:p>
        </w:tc>
        <w:tc>
          <w:tcPr>
            <w:tcW w:type="dxa" w:w="156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22.5%</w:t>
            </w:r>
          </w:p>
        </w:tc>
        <w:tc>
          <w:tcPr>
            <w:tcW w:type="dxa" w:w="156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$(1,881)M</w:t>
            </w:r>
          </w:p>
        </w:tc>
        <w:tc>
          <w:tcPr>
            <w:tcW w:type="dxa" w:w="1404"/>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$(13.33)</w:t>
            </w:r>
          </w:p>
        </w:tc>
        <w:tc>
          <w:tcPr>
            <w:tcW w:type="dxa" w:w="1404"/>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$197M</w:t>
            </w:r>
          </w:p>
        </w:tc>
      </w:tr>
      <w:tr>
        <w:trPr>
          <w:tblHeader w:val="false"/>
        </w:trPr>
        <w:tc>
          <w:tcPr>
            <w:tcW w:type="dxa" w:w="1872"/>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FQ4 FY2025 (27 Jun 25)</w:t>
            </w:r>
          </w:p>
        </w:tc>
        <w:tc>
          <w:tcPr>
            <w:tcW w:type="dxa" w:w="156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$1,901M</w:t>
            </w:r>
          </w:p>
        </w:tc>
        <w:tc>
          <w:tcPr>
            <w:tcW w:type="dxa" w:w="156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26.2%</w:t>
            </w:r>
          </w:p>
        </w:tc>
        <w:tc>
          <w:tcPr>
            <w:tcW w:type="dxa" w:w="156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$18M</w:t>
            </w:r>
          </w:p>
        </w:tc>
        <w:tc>
          <w:tcPr>
            <w:tcW w:type="dxa" w:w="1404"/>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$(0.16)</w:t>
            </w:r>
          </w:p>
        </w:tc>
        <w:tc>
          <w:tcPr>
            <w:tcW w:type="dxa" w:w="1404"/>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$213M</w:t>
            </w:r>
          </w:p>
        </w:tc>
      </w:tr>
      <w:tr>
        <w:trPr>
          <w:tblHeader w:val="false"/>
        </w:trPr>
        <w:tc>
          <w:tcPr>
            <w:tcW w:type="dxa" w:w="1872"/>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FQ1 FY2026 (3 Oct 25)</w:t>
            </w:r>
          </w:p>
        </w:tc>
        <w:tc>
          <w:tcPr>
            <w:tcW w:type="dxa" w:w="156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$2,308M</w:t>
            </w:r>
          </w:p>
        </w:tc>
        <w:tc>
          <w:tcPr>
            <w:tcW w:type="dxa" w:w="156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29.8%</w:t>
            </w:r>
          </w:p>
        </w:tc>
        <w:tc>
          <w:tcPr>
            <w:tcW w:type="dxa" w:w="156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$176M</w:t>
            </w:r>
          </w:p>
        </w:tc>
        <w:tc>
          <w:tcPr>
            <w:tcW w:type="dxa" w:w="1404"/>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$0.75</w:t>
            </w:r>
          </w:p>
        </w:tc>
        <w:tc>
          <w:tcPr>
            <w:tcW w:type="dxa" w:w="1404"/>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$269M</w:t>
            </w:r>
          </w:p>
        </w:tc>
      </w:tr>
      <w:tr>
        <w:trPr>
          <w:tblHeader w:val="false"/>
        </w:trPr>
        <w:tc>
          <w:tcPr>
            <w:tcW w:type="dxa" w:w="1872"/>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FQ2 FY2026 (2 Jan 26)</w:t>
            </w:r>
          </w:p>
        </w:tc>
        <w:tc>
          <w:tcPr>
            <w:tcW w:type="dxa" w:w="156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$3,025M</w:t>
            </w:r>
          </w:p>
        </w:tc>
        <w:tc>
          <w:tcPr>
            <w:tcW w:type="dxa" w:w="156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50.9%</w:t>
            </w:r>
          </w:p>
        </w:tc>
        <w:tc>
          <w:tcPr>
            <w:tcW w:type="dxa" w:w="156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$1,065M</w:t>
            </w:r>
          </w:p>
        </w:tc>
        <w:tc>
          <w:tcPr>
            <w:tcW w:type="dxa" w:w="1404"/>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$5.15</w:t>
            </w:r>
          </w:p>
        </w:tc>
        <w:tc>
          <w:tcPr>
            <w:tcW w:type="dxa" w:w="1404"/>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$440M</w:t>
            </w:r>
          </w:p>
        </w:tc>
      </w:tr>
      <w:tr>
        <w:trPr>
          <w:tblHeader w:val="false"/>
        </w:trPr>
        <w:tc>
          <w:tcPr>
            <w:tcW w:type="dxa" w:w="1872"/>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FQ3 FY2026 (3 Apr 26)</w:t>
            </w:r>
          </w:p>
        </w:tc>
        <w:tc>
          <w:tcPr>
            <w:tcW w:type="dxa" w:w="156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$5,950M</w:t>
            </w:r>
          </w:p>
        </w:tc>
        <w:tc>
          <w:tcPr>
            <w:tcW w:type="dxa" w:w="156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78.4%</w:t>
            </w:r>
          </w:p>
        </w:tc>
        <w:tc>
          <w:tcPr>
            <w:tcW w:type="dxa" w:w="156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$4,111M</w:t>
            </w:r>
          </w:p>
        </w:tc>
        <w:tc>
          <w:tcPr>
            <w:tcW w:type="dxa" w:w="1404"/>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$23.03</w:t>
            </w:r>
          </w:p>
        </w:tc>
        <w:tc>
          <w:tcPr>
            <w:tcW w:type="dxa" w:w="1404"/>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$1,467M</w:t>
            </w:r>
          </w:p>
        </w:tc>
      </w:tr>
      <w:tr>
        <w:trPr>
          <w:tblHeader w:val="false"/>
        </w:trPr>
        <w:tc>
          <w:tcPr>
            <w:tcW w:type="dxa" w:w="1872"/>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FQ4 FY2026 (3 Jul 26)</w:t>
            </w:r>
          </w:p>
        </w:tc>
        <w:tc>
          <w:tcPr>
            <w:tcW w:type="dxa" w:w="156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$8,965M</w:t>
            </w:r>
          </w:p>
        </w:tc>
        <w:tc>
          <w:tcPr>
            <w:tcW w:type="dxa" w:w="156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84.6%</w:t>
            </w:r>
          </w:p>
        </w:tc>
        <w:tc>
          <w:tcPr>
            <w:tcW w:type="dxa" w:w="1560"/>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$7,037M</w:t>
            </w:r>
          </w:p>
        </w:tc>
        <w:tc>
          <w:tcPr>
            <w:tcW w:type="dxa" w:w="1404"/>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$43.97</w:t>
            </w:r>
          </w:p>
        </w:tc>
        <w:tc>
          <w:tcPr>
            <w:tcW w:type="dxa" w:w="1404"/>
            <w:shd w:fill="F5F7FB"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$2,977M</w:t>
            </w:r>
          </w:p>
        </w:tc>
      </w:tr>
    </w:tbl>
    <w:p>
      <w:pPr>
        <w:spacing w:after="180" w:before="120"/>
      </w:pPr>
      <w:r>
        <w:rPr>
          <w:rFonts w:ascii="Arial" w:cs="Arial" w:eastAsia="Arial" w:hAnsi="Arial"/>
          <w:i/>
          <w:iCs/>
          <w:color w:val="595959"/>
          <w:sz w:val="18"/>
          <w:szCs w:val="18"/>
        </w:rPr>
        <w:t xml:space="preserve">Sources: quarterly earnings releases and the FQ3 FY2026 10-Q. Figures are GAAP. The FQ3 FY2025 operating loss includes an $1,830 million goodwill impairment.</w:t>
      </w:r>
    </w:p>
    <w:p>
      <w:pPr>
        <w:pStyle w:val="Heading2"/>
        <w:spacing w:after="180" w:before="180"/>
      </w:pPr>
      <w:r>
        <w:rPr>
          <w:rFonts w:ascii="Arial" w:cs="Arial" w:eastAsia="Arial" w:hAnsi="Arial"/>
          <w:b/>
          <w:bCs/>
          <w:color w:val="1F3864"/>
          <w:sz w:val="28"/>
          <w:szCs w:val="28"/>
        </w:rPr>
        <w:t xml:space="preserve">Where the business sits in its cycle</w:t>
      </w:r>
    </w:p>
    <w:p>
      <w:pPr>
        <w:spacing w:after="140" w:line="280"/>
      </w:pPr>
      <w:r>
        <w:rPr>
          <w:rFonts w:ascii="Arial" w:cs="Arial" w:eastAsia="Arial" w:hAnsi="Arial"/>
          <w:sz w:val="22"/>
          <w:szCs w:val="22"/>
        </w:rPr>
        <w:t xml:space="preserve">At or very near a peak on price, and nowhere near one on volume. Gross margin of 84.6% compares with 22.5% five quarters earlier and 7.1% for the whole of FY2023. Revenue is 5.3 times the FQ3 FY2025 trough. But in the third quarter of FY2026 exabytes sold were flat against the prior year while average selling price per gigabyte rose 248% (FQ3 FY2026 10-Q). This is a price record achieved on flat volume, which is a materially different fact from a record margin achieved on record shipments — the second can be defended by cost absorption, and the first cannot be defended by anything except the price holding.</w:t>
      </w:r>
    </w:p>
    <w:p>
      <w:pPr>
        <w:spacing w:after="140" w:line="280"/>
      </w:pPr>
      <w:r>
        <w:rPr>
          <w:rFonts w:ascii="Arial" w:cs="Arial" w:eastAsia="Arial" w:hAnsi="Arial"/>
          <w:sz w:val="22"/>
          <w:szCs w:val="22"/>
        </w:rPr>
        <w:t xml:space="preserve">Guidance for the first quarter of FY2027 is revenue of $10.3 to $10.8 billion at a gross margin of 83.0% to 84.9% (FQ4 FY2026 release), so the price was still rising into the current quarter. End-market exposure at the FY2026 year-end was Edge 60%, Datacenter 25% and Consumer 15%.</w:t>
      </w:r>
    </w:p>
    <w:p>
      <w:pPr>
        <w:pStyle w:val="Heading2"/>
        <w:spacing w:after="180" w:before="180"/>
      </w:pPr>
      <w:r>
        <w:rPr>
          <w:rFonts w:ascii="Arial" w:cs="Arial" w:eastAsia="Arial" w:hAnsi="Arial"/>
          <w:b/>
          <w:bCs/>
          <w:color w:val="1F3864"/>
          <w:sz w:val="28"/>
          <w:szCs w:val="28"/>
        </w:rPr>
        <w:t xml:space="preserve">The downside, as a mechanism</w:t>
      </w:r>
    </w:p>
    <w:p>
      <w:pPr>
        <w:spacing w:after="140" w:line="280"/>
      </w:pPr>
      <w:r>
        <w:rPr>
          <w:rFonts w:ascii="Arial" w:cs="Arial" w:eastAsia="Arial" w:hAnsi="Arial"/>
          <w:sz w:val="22"/>
          <w:szCs w:val="22"/>
        </w:rPr>
        <w:t xml:space="preserve">TrendForce's own base case is not a crash but a turn: it expects NAND supply and demand to move back into surplus in the second half of 2027 as Chinese bit output approaches 19% of the global total and consumer demand softens, with smartphone production forecast down 15–20% year on year in 2026 (TrendForce, 21 July 2026). If that happens, three things move against Sandisk at once. Price per gigabyte falls into a cost base that does not, because half of Flash Ventures' fixed costs are owed whether or not the output is taken. Under-utilisation charges return to the income statement. And inventory bought at peak wafer cost — $2,698 million at the year-end, against receivables of $4,708 million and a cash conversion cycle stretched to 162 days — is written down against a falling market.</w:t>
      </w:r>
    </w:p>
    <w:p>
      <w:pPr>
        <w:spacing w:after="140" w:line="280"/>
      </w:pPr>
      <w:r>
        <w:rPr>
          <w:rFonts w:ascii="Arial" w:cs="Arial" w:eastAsia="Arial" w:hAnsi="Arial"/>
          <w:sz w:val="22"/>
          <w:szCs w:val="22"/>
        </w:rPr>
        <w:t xml:space="preserve">The industry has shown how quickly this can begin. In the first quarter of calendar 2025, in the middle of a recovery, top-five NAND revenue fell 24% sequentially on an inventory correction, with average selling prices down 15% in a single quarter (TrendForce, 29 May 2025).</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C9C9C9" w:sz="4"/>
          <w:left w:val="single" w:color="C9C9C9" w:sz="4"/>
          <w:bottom w:val="single" w:color="C9C9C9" w:sz="4"/>
          <w:right w:val="single" w:color="C9C9C9" w:sz="4"/>
          <w:insideH w:val="single" w:color="C9C9C9" w:sz="2"/>
          <w:insideV w:val="single" w:color="C9C9C9" w:sz="2"/>
        </w:tblBorders>
      </w:tblPr>
      <w:tblGrid>
        <w:gridCol w:w="4680"/>
        <w:gridCol w:w="4680"/>
      </w:tblGrid>
      <w:tr>
        <w:trPr>
          <w:tblHeader/>
        </w:trPr>
        <w:tc>
          <w:tcPr>
            <w:tcW w:type="dxa" w:w="468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Durable — likely still true in ten years</w:t>
            </w:r>
          </w:p>
        </w:tc>
        <w:tc>
          <w:tcPr>
            <w:tcW w:type="dxa" w:w="4680"/>
            <w:shd w:fill="E9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Borrowed — helping right now</w:t>
            </w:r>
          </w:p>
        </w:tc>
      </w:tr>
      <w:tr>
        <w:trPr>
          <w:tblHeader w:val="false"/>
        </w:trPr>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The 49.9% Flash Ventures interest, contracted to December 2034</w:t>
            </w:r>
          </w:p>
        </w:tc>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NAND price per gigabyte up 150–180% year on year</w:t>
            </w:r>
          </w:p>
        </w:tc>
      </w:tr>
      <w:tr>
        <w:trPr>
          <w:tblHeader w:val="false"/>
        </w:trPr>
        <w:tc>
          <w:tcPr>
            <w:tcW w:type="dxa" w:w="468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Owned assembly and test capacity at Penang</w:t>
            </w:r>
          </w:p>
        </w:tc>
        <w:tc>
          <w:tcPr>
            <w:tcW w:type="dxa" w:w="468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Price-protection accruals at 11% of gross revenue versus 19%</w:t>
            </w:r>
          </w:p>
        </w:tc>
      </w:tr>
      <w:tr>
        <w:trPr>
          <w:tblHeader w:val="false"/>
        </w:trPr>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Approximately 8,000 patents in controller and firmware design</w:t>
            </w:r>
          </w:p>
        </w:tc>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An $808 million mark-to-market gain on the Nanya stake</w:t>
            </w:r>
          </w:p>
        </w:tc>
      </w:tr>
      <w:tr>
        <w:trPr>
          <w:tblHeader w:val="false"/>
        </w:trPr>
        <w:tc>
          <w:tcPr>
            <w:tcW w:type="dxa" w:w="468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The Sandisk retail brand and its global distribution</w:t>
            </w:r>
          </w:p>
        </w:tc>
        <w:tc>
          <w:tcPr>
            <w:tcW w:type="dxa" w:w="4680"/>
            <w:shd w:fill="F5F7FB"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Under-utilisation charges of $11 million versus $249 million in FY2024</w:t>
            </w:r>
          </w:p>
        </w:tc>
      </w:tr>
      <w:tr>
        <w:trPr>
          <w:tblHeader w:val="false"/>
        </w:trPr>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Zero debt and $4.76 billion of cash entering the next downturn</w:t>
            </w:r>
          </w:p>
        </w:tc>
        <w:tc>
          <w:tcPr>
            <w:tcW w:type="dxa" w:w="468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Cost of revenue up 12% while revenue rose 175%</w:t>
            </w:r>
          </w:p>
        </w:tc>
      </w:tr>
    </w:tbl>
    <w:p>
      <w:pPr>
        <w:pStyle w:val="Heading2"/>
        <w:spacing w:after="180" w:before="180"/>
      </w:pPr>
      <w:r>
        <w:rPr>
          <w:rFonts w:ascii="Arial" w:cs="Arial" w:eastAsia="Arial" w:hAnsi="Arial"/>
          <w:b/>
          <w:bCs/>
          <w:color w:val="1F3864"/>
          <w:sz w:val="28"/>
          <w:szCs w:val="28"/>
        </w:rPr>
        <w:t xml:space="preserve">What to monitor, and where it is published</w:t>
      </w:r>
    </w:p>
    <w:p>
      <w:pPr>
        <w:pStyle w:val="ListParagraph"/>
        <w:numPr>
          <w:ilvl w:val="0"/>
          <w:numId w:val="2"/>
        </w:numPr>
        <w:spacing w:after="110" w:line="280"/>
      </w:pPr>
      <w:r>
        <w:rPr>
          <w:rFonts w:ascii="Arial" w:cs="Arial" w:eastAsia="Arial" w:hAnsi="Arial"/>
          <w:sz w:val="22"/>
          <w:szCs w:val="22"/>
        </w:rPr>
        <w:t xml:space="preserve">NAND contract prices and quarterly supplier revenue share — TrendForce press centre, published quarterly. This is the single most predictive series for Sandisk's earnings.</w:t>
      </w:r>
    </w:p>
    <w:p>
      <w:pPr>
        <w:pStyle w:val="ListParagraph"/>
        <w:numPr>
          <w:ilvl w:val="0"/>
          <w:numId w:val="2"/>
        </w:numPr>
        <w:spacing w:after="110" w:line="280"/>
      </w:pPr>
      <w:r>
        <w:rPr>
          <w:rFonts w:ascii="Arial" w:cs="Arial" w:eastAsia="Arial" w:hAnsi="Arial"/>
          <w:sz w:val="22"/>
          <w:szCs w:val="22"/>
        </w:rPr>
        <w:t xml:space="preserve">Kioxia Holdings' quarterly results (kioxia-holdings.com). As the only other NAND-pure producer and Sandisk's manufacturing partner, Kioxia's margin is the cleanest available read on Flash Ventures' underlying economics.</w:t>
      </w:r>
    </w:p>
    <w:p>
      <w:pPr>
        <w:pStyle w:val="ListParagraph"/>
        <w:numPr>
          <w:ilvl w:val="0"/>
          <w:numId w:val="2"/>
        </w:numPr>
        <w:spacing w:after="110" w:line="280"/>
      </w:pPr>
      <w:r>
        <w:rPr>
          <w:rFonts w:ascii="Arial" w:cs="Arial" w:eastAsia="Arial" w:hAnsi="Arial"/>
          <w:sz w:val="22"/>
          <w:szCs w:val="22"/>
        </w:rPr>
        <w:t xml:space="preserve">Capital expenditure guidance from Samsung, SK hynix and Micron on their earnings calls. Whether the largest suppliers keep restraining NAND capex or restart a capacity race is the fork in the industry's medium-term path.</w:t>
      </w:r>
    </w:p>
    <w:p>
      <w:pPr>
        <w:pStyle w:val="ListParagraph"/>
        <w:numPr>
          <w:ilvl w:val="0"/>
          <w:numId w:val="2"/>
        </w:numPr>
        <w:spacing w:after="110" w:line="280"/>
      </w:pPr>
      <w:r>
        <w:rPr>
          <w:rFonts w:ascii="Arial" w:cs="Arial" w:eastAsia="Arial" w:hAnsi="Arial"/>
          <w:sz w:val="22"/>
          <w:szCs w:val="22"/>
        </w:rPr>
        <w:t xml:space="preserve">Sandisk's own exabyte-versus-price disclosure in each quarterly MD&amp;A. When bits stop growing and price stops rising in the same quarter, the peak has passed.</w:t>
      </w:r>
    </w:p>
    <w:p>
      <w:pPr>
        <w:pStyle w:val="ListParagraph"/>
        <w:numPr>
          <w:ilvl w:val="0"/>
          <w:numId w:val="2"/>
        </w:numPr>
        <w:spacing w:after="110" w:line="280"/>
      </w:pPr>
      <w:r>
        <w:rPr>
          <w:rFonts w:ascii="Arial" w:cs="Arial" w:eastAsia="Arial" w:hAnsi="Arial"/>
          <w:sz w:val="22"/>
          <w:szCs w:val="22"/>
        </w:rPr>
        <w:t xml:space="preserve">The aggregate transaction price of the long-term customer agreements, and the Flash Ventures commitments table, both disclosed in each 10-Q and 10-K.</w:t>
      </w:r>
    </w:p>
    <w:p>
      <w:r>
        <w:br w:type="page"/>
      </w:r>
    </w:p>
    <w:p>
      <w:pPr>
        <w:pStyle w:val="Heading1"/>
        <w:spacing w:after="200" w:before="360"/>
      </w:pPr>
      <w:r>
        <w:rPr>
          <w:rFonts w:ascii="Arial" w:cs="Arial" w:eastAsia="Arial" w:hAnsi="Arial"/>
          <w:b/>
          <w:bCs/>
          <w:color w:val="1F3864"/>
          <w:sz w:val="32"/>
          <w:szCs w:val="32"/>
        </w:rPr>
        <w:t xml:space="preserve">7. Risks, Unknowns and Questions for Deeper Work</w:t>
      </w:r>
    </w:p>
    <w:p>
      <w:pPr>
        <w:spacing w:after="140" w:line="280"/>
      </w:pPr>
      <w:r>
        <w:rPr>
          <w:rFonts w:ascii="Arial" w:cs="Arial" w:eastAsia="Arial" w:hAnsi="Arial"/>
          <w:sz w:val="22"/>
          <w:szCs w:val="22"/>
        </w:rPr>
        <w:t xml:space="preserve">Section 6 covers the price cycle. What follows is what the cycle does not capture — the risks that would compound a downturn rather than simply accompany it.</w:t>
      </w:r>
    </w:p>
    <w:p>
      <w:pPr>
        <w:pStyle w:val="ListParagraph"/>
        <w:numPr>
          <w:ilvl w:val="0"/>
          <w:numId w:val="2"/>
        </w:numPr>
        <w:spacing w:after="110" w:line="280"/>
      </w:pPr>
      <w:r>
        <w:rPr>
          <w:rFonts w:ascii="Arial" w:cs="Arial" w:eastAsia="Arial" w:hAnsi="Arial"/>
          <w:b/>
          <w:bCs/>
          <w:sz w:val="22"/>
          <w:szCs w:val="22"/>
        </w:rPr>
        <w:t xml:space="preserve">The fixed-cost obligation converts a demand break into two losses at once. </w:t>
      </w:r>
      <w:r>
        <w:rPr>
          <w:rFonts w:ascii="Arial" w:cs="Arial" w:eastAsia="Arial" w:hAnsi="Arial"/>
          <w:sz w:val="22"/>
          <w:szCs w:val="22"/>
        </w:rPr>
        <w:t xml:space="preserve">Wafer orders are binding three months forward and cannot be cancelled (FY2026 10-K). A sudden fall in demand therefore arrives as an under-utilisation charge and an unwanted inventory build in the same quarter, at the moment the price of that inventory is falling — two losses from one event.</w:t>
      </w:r>
    </w:p>
    <w:p>
      <w:pPr>
        <w:pStyle w:val="ListParagraph"/>
        <w:numPr>
          <w:ilvl w:val="0"/>
          <w:numId w:val="2"/>
        </w:numPr>
        <w:spacing w:after="110" w:line="280"/>
      </w:pPr>
      <w:r>
        <w:rPr>
          <w:rFonts w:ascii="Arial" w:cs="Arial" w:eastAsia="Arial" w:hAnsi="Arial"/>
          <w:b/>
          <w:bCs/>
          <w:sz w:val="22"/>
          <w:szCs w:val="22"/>
        </w:rPr>
        <w:t xml:space="preserve">Sandisk cannot manufacture its way out of a dispute. </w:t>
      </w:r>
      <w:r>
        <w:rPr>
          <w:rFonts w:ascii="Arial" w:cs="Arial" w:eastAsia="Arial" w:hAnsi="Arial"/>
          <w:sz w:val="22"/>
          <w:szCs w:val="22"/>
        </w:rPr>
        <w:t xml:space="preserve">While the venture operates, Sandisk is contractually barred from fabricating flash itself beyond agreed capacity or from working with third-party fabs (spin-off prospectus, June 2025). Substantially all of its wafers come from Flash Ventures. A serious disagreement with Kioxia would not be a supply-chain problem to be worked around; it would be existential, and that asymmetry sits behind every negotiation between the two.</w:t>
      </w:r>
    </w:p>
    <w:p>
      <w:pPr>
        <w:pStyle w:val="ListParagraph"/>
        <w:numPr>
          <w:ilvl w:val="0"/>
          <w:numId w:val="2"/>
        </w:numPr>
        <w:spacing w:after="110" w:line="280"/>
      </w:pPr>
      <w:r>
        <w:rPr>
          <w:rFonts w:ascii="Arial" w:cs="Arial" w:eastAsia="Arial" w:hAnsi="Arial"/>
          <w:b/>
          <w:bCs/>
          <w:sz w:val="22"/>
          <w:szCs w:val="22"/>
        </w:rPr>
        <w:t xml:space="preserve">Kioxia's ownership has just turned over, and a competitor is now inside it. </w:t>
      </w:r>
      <w:r>
        <w:rPr>
          <w:rFonts w:ascii="Arial" w:cs="Arial" w:eastAsia="Arial" w:hAnsi="Arial"/>
          <w:sz w:val="22"/>
          <w:szCs w:val="22"/>
        </w:rPr>
        <w:t xml:space="preserve">Bain Capital fully exited Kioxia by July 2026, realising roughly ¥2.5 trillion; Toshiba has fallen to about 15.1%; and SK hynix holds approximately 14% through convertible bonds, with voting rights capped below 15% until 2028 (Nikkei Asia; SK hynix disclosure via BigGo). Sandisk's entire wafer supply now depends on a partner whose largest strategic shareholder is a direct competitor in the same product.</w:t>
      </w:r>
    </w:p>
    <w:p>
      <w:pPr>
        <w:pStyle w:val="ListParagraph"/>
        <w:numPr>
          <w:ilvl w:val="0"/>
          <w:numId w:val="2"/>
        </w:numPr>
        <w:spacing w:after="110" w:line="280"/>
      </w:pPr>
      <w:r>
        <w:rPr>
          <w:rFonts w:ascii="Arial" w:cs="Arial" w:eastAsia="Arial" w:hAnsi="Arial"/>
          <w:b/>
          <w:bCs/>
          <w:sz w:val="22"/>
          <w:szCs w:val="22"/>
        </w:rPr>
        <w:t xml:space="preserve">A capacity commitment made at the top of the price cycle. </w:t>
      </w:r>
      <w:r>
        <w:rPr>
          <w:rFonts w:ascii="Arial" w:cs="Arial" w:eastAsia="Arial" w:hAnsi="Arial"/>
          <w:sz w:val="22"/>
          <w:szCs w:val="22"/>
        </w:rPr>
        <w:t xml:space="preserve">The August 2026 Japan buildout commits more than $31 billion through 2032 at the highest NAND prices on record. Section 5 gives the affordability arithmetic; the risk is one of timing rather than solvency, because the bits that spending produces will arrive into whatever price environment exists in 2029 and beyond, not this one.</w:t>
      </w:r>
    </w:p>
    <w:p>
      <w:pPr>
        <w:pStyle w:val="ListParagraph"/>
        <w:numPr>
          <w:ilvl w:val="0"/>
          <w:numId w:val="2"/>
        </w:numPr>
        <w:spacing w:after="110" w:line="280"/>
      </w:pPr>
      <w:r>
        <w:rPr>
          <w:rFonts w:ascii="Arial" w:cs="Arial" w:eastAsia="Arial" w:hAnsi="Arial"/>
          <w:b/>
          <w:bCs/>
          <w:sz w:val="22"/>
          <w:szCs w:val="22"/>
        </w:rPr>
        <w:t xml:space="preserve">The long-term agreements are unpriced in both directions. </w:t>
      </w:r>
      <w:r>
        <w:rPr>
          <w:rFonts w:ascii="Arial" w:cs="Arial" w:eastAsia="Arial" w:hAnsi="Arial"/>
          <w:sz w:val="22"/>
          <w:szCs w:val="22"/>
        </w:rPr>
        <w:t xml:space="preserve">$31.3 billion of aggregate transaction price sits with an undisclosed and probably small number of Datacenter and Edge customers, backed by financial guarantees whose terms are not published. Read one way this is the cyclicality insurance management says it is. Read another, it is committed volume at fixed prices, which is exactly the wrong exposure if the market runs further, and concentrated counterparty risk if it does not.</w:t>
      </w:r>
    </w:p>
    <w:p>
      <w:pPr>
        <w:pStyle w:val="ListParagraph"/>
        <w:numPr>
          <w:ilvl w:val="0"/>
          <w:numId w:val="2"/>
        </w:numPr>
        <w:spacing w:after="110" w:line="280"/>
      </w:pPr>
      <w:r>
        <w:rPr>
          <w:rFonts w:ascii="Arial" w:cs="Arial" w:eastAsia="Arial" w:hAnsi="Arial"/>
          <w:b/>
          <w:bCs/>
          <w:sz w:val="22"/>
          <w:szCs w:val="22"/>
        </w:rPr>
        <w:t xml:space="preserve">The tax agreement constrains strategic action until February 2027. </w:t>
      </w:r>
      <w:r>
        <w:rPr>
          <w:rFonts w:ascii="Arial" w:cs="Arial" w:eastAsia="Arial" w:hAnsi="Arial"/>
          <w:sz w:val="22"/>
          <w:szCs w:val="22"/>
        </w:rPr>
        <w:t xml:space="preserve">For two years after the spin-off, Sandisk cannot freely issue stock, merge or be acquired without indemnifying Western Digital for the loss of the transaction's tax-free treatment (separation 8-K, February 2025).</w:t>
      </w:r>
    </w:p>
    <w:p>
      <w:pPr>
        <w:pStyle w:val="Heading2"/>
        <w:spacing w:after="180" w:before="180"/>
      </w:pPr>
      <w:r>
        <w:rPr>
          <w:rFonts w:ascii="Arial" w:cs="Arial" w:eastAsia="Arial" w:hAnsi="Arial"/>
          <w:b/>
          <w:bCs/>
          <w:color w:val="1F3864"/>
          <w:sz w:val="28"/>
          <w:szCs w:val="28"/>
        </w:rPr>
        <w:t xml:space="preserve">What the sources could not answer</w:t>
      </w:r>
    </w:p>
    <w:p>
      <w:pPr>
        <w:spacing w:after="140" w:line="280"/>
      </w:pPr>
      <w:r>
        <w:rPr>
          <w:rFonts w:ascii="Arial" w:cs="Arial" w:eastAsia="Arial" w:hAnsi="Arial"/>
          <w:sz w:val="22"/>
          <w:szCs w:val="22"/>
        </w:rPr>
        <w:t xml:space="preserve">These are findings, not omissions. Each would need resolving before an investor could hold a view on this business with confidence.</w:t>
      </w:r>
    </w:p>
    <w:p>
      <w:pPr>
        <w:pStyle w:val="ListParagraph"/>
        <w:numPr>
          <w:ilvl w:val="0"/>
          <w:numId w:val="2"/>
        </w:numPr>
        <w:spacing w:after="110" w:line="280"/>
      </w:pPr>
      <w:r>
        <w:rPr>
          <w:rFonts w:ascii="Arial" w:cs="Arial" w:eastAsia="Arial" w:hAnsi="Arial"/>
          <w:sz w:val="22"/>
          <w:szCs w:val="22"/>
        </w:rPr>
        <w:t xml:space="preserve">Absolute exabytes shipped and absolute revenue per gigabyte. Sandisk discloses only percentage changes, in every filing reviewed. Without a level, a percentage cannot be anchored to anything.</w:t>
      </w:r>
    </w:p>
    <w:p>
      <w:pPr>
        <w:pStyle w:val="ListParagraph"/>
        <w:numPr>
          <w:ilvl w:val="0"/>
          <w:numId w:val="2"/>
        </w:numPr>
        <w:spacing w:after="110" w:line="280"/>
      </w:pPr>
      <w:r>
        <w:rPr>
          <w:rFonts w:ascii="Arial" w:cs="Arial" w:eastAsia="Arial" w:hAnsi="Arial"/>
          <w:sz w:val="22"/>
          <w:szCs w:val="22"/>
        </w:rPr>
        <w:t xml:space="preserve">Cost per gigabyte and its rate of decline. In a commodity bit business this is the most important number there is, and it appears nowhere in the filings, nor in any independent series located.</w:t>
      </w:r>
    </w:p>
    <w:p>
      <w:pPr>
        <w:pStyle w:val="ListParagraph"/>
        <w:numPr>
          <w:ilvl w:val="0"/>
          <w:numId w:val="2"/>
        </w:numPr>
        <w:spacing w:after="110" w:line="280"/>
      </w:pPr>
      <w:r>
        <w:rPr>
          <w:rFonts w:ascii="Arial" w:cs="Arial" w:eastAsia="Arial" w:hAnsi="Arial"/>
          <w:sz w:val="22"/>
          <w:szCs w:val="22"/>
        </w:rPr>
        <w:t xml:space="preserve">Any market-share figure disclosed by the company itself. All share data in this document comes from third parties.</w:t>
      </w:r>
    </w:p>
    <w:p>
      <w:pPr>
        <w:pStyle w:val="ListParagraph"/>
        <w:numPr>
          <w:ilvl w:val="0"/>
          <w:numId w:val="2"/>
        </w:numPr>
        <w:spacing w:after="110" w:line="280"/>
      </w:pPr>
      <w:r>
        <w:rPr>
          <w:rFonts w:ascii="Arial" w:cs="Arial" w:eastAsia="Arial" w:hAnsi="Arial"/>
          <w:sz w:val="22"/>
          <w:szCs w:val="22"/>
        </w:rPr>
        <w:t xml:space="preserve">The split of revenue between OEM, distributor and retail channels.</w:t>
      </w:r>
    </w:p>
    <w:p>
      <w:pPr>
        <w:pStyle w:val="ListParagraph"/>
        <w:numPr>
          <w:ilvl w:val="0"/>
          <w:numId w:val="2"/>
        </w:numPr>
        <w:spacing w:after="110" w:line="280"/>
      </w:pPr>
      <w:r>
        <w:rPr>
          <w:rFonts w:ascii="Arial" w:cs="Arial" w:eastAsia="Arial" w:hAnsi="Arial"/>
          <w:sz w:val="22"/>
          <w:szCs w:val="22"/>
        </w:rPr>
        <w:t xml:space="preserve">Any quantification of the Sandisk retail brand — share of the retail flash market, or a margin premium over unbranded product. The claim appears in the filings and could not be tested against any source.</w:t>
      </w:r>
    </w:p>
    <w:p>
      <w:pPr>
        <w:pStyle w:val="ListParagraph"/>
        <w:numPr>
          <w:ilvl w:val="0"/>
          <w:numId w:val="2"/>
        </w:numPr>
        <w:spacing w:after="110" w:line="280"/>
      </w:pPr>
      <w:r>
        <w:rPr>
          <w:rFonts w:ascii="Arial" w:cs="Arial" w:eastAsia="Arial" w:hAnsi="Arial"/>
          <w:sz w:val="22"/>
          <w:szCs w:val="22"/>
        </w:rPr>
        <w:t xml:space="preserve">The terms of the long-term customer agreements: which customers, what prices, what volumes, what happens if a customer walks, and what the financial guarantees actually secure.</w:t>
      </w:r>
    </w:p>
    <w:p>
      <w:pPr>
        <w:pStyle w:val="ListParagraph"/>
        <w:numPr>
          <w:ilvl w:val="0"/>
          <w:numId w:val="2"/>
        </w:numPr>
        <w:spacing w:after="110" w:line="280"/>
      </w:pPr>
      <w:r>
        <w:rPr>
          <w:rFonts w:ascii="Arial" w:cs="Arial" w:eastAsia="Arial" w:hAnsi="Arial"/>
          <w:sz w:val="22"/>
          <w:szCs w:val="22"/>
        </w:rPr>
        <w:t xml:space="preserve">Sandisk's share of the more than $31 billion Japan investment, and the resulting annual cash obligation.</w:t>
      </w:r>
    </w:p>
    <w:p>
      <w:pPr>
        <w:pStyle w:val="ListParagraph"/>
        <w:numPr>
          <w:ilvl w:val="0"/>
          <w:numId w:val="2"/>
        </w:numPr>
        <w:spacing w:after="110" w:line="280"/>
      </w:pPr>
      <w:r>
        <w:rPr>
          <w:rFonts w:ascii="Arial" w:cs="Arial" w:eastAsia="Arial" w:hAnsi="Arial"/>
          <w:sz w:val="22"/>
          <w:szCs w:val="22"/>
        </w:rPr>
        <w:t xml:space="preserve">The numeric leverage covenant on the undrawn revolving credit facility.</w:t>
      </w:r>
    </w:p>
    <w:p>
      <w:pPr>
        <w:pStyle w:val="ListParagraph"/>
        <w:numPr>
          <w:ilvl w:val="0"/>
          <w:numId w:val="2"/>
        </w:numPr>
        <w:spacing w:after="110" w:line="280"/>
      </w:pPr>
      <w:r>
        <w:rPr>
          <w:rFonts w:ascii="Arial" w:cs="Arial" w:eastAsia="Arial" w:hAnsi="Arial"/>
          <w:sz w:val="22"/>
          <w:szCs w:val="22"/>
        </w:rPr>
        <w:t xml:space="preserve">Management's unscripted view. The research folder contains no earnings-call transcripts and no investor-day materials, so every management statement quoted here is from a prepared release or a filing. Analyst pushback and long-term targets are unread.</w:t>
      </w:r>
    </w:p>
    <w:p>
      <w:pPr>
        <w:pStyle w:val="ListParagraph"/>
        <w:numPr>
          <w:ilvl w:val="0"/>
          <w:numId w:val="2"/>
        </w:numPr>
        <w:spacing w:after="110" w:line="280"/>
      </w:pPr>
      <w:r>
        <w:rPr>
          <w:rFonts w:ascii="Arial" w:cs="Arial" w:eastAsia="Arial" w:hAnsi="Arial"/>
          <w:sz w:val="22"/>
          <w:szCs w:val="22"/>
        </w:rPr>
        <w:t xml:space="preserve">Press reports of revived consolidation talks involving Kioxia and Sandisk's former parent could not be corroborated from any primary source and are excluded from this document.</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10" w:line="280"/>
      </w:pPr>
      <w:r>
        <w:rPr>
          <w:rFonts w:ascii="Arial" w:cs="Arial" w:eastAsia="Arial" w:hAnsi="Arial"/>
          <w:sz w:val="22"/>
          <w:szCs w:val="22"/>
        </w:rPr>
        <w:t xml:space="preserve">Sandisk is a leveraged claim on the price of a NAND gigabyte, with a fixed-cost obligation attached to it. It is not a storage-solutions company that happens to be cyclical.</w:t>
      </w:r>
    </w:p>
    <w:p>
      <w:pPr>
        <w:pStyle w:val="ListParagraph"/>
        <w:numPr>
          <w:ilvl w:val="0"/>
          <w:numId w:val="2"/>
        </w:numPr>
        <w:spacing w:after="110" w:line="280"/>
      </w:pPr>
      <w:r>
        <w:rPr>
          <w:rFonts w:ascii="Arial" w:cs="Arial" w:eastAsia="Arial" w:hAnsi="Arial"/>
          <w:sz w:val="22"/>
          <w:szCs w:val="22"/>
        </w:rPr>
        <w:t xml:space="preserve">The engine is simple: buy roughly half of one joint venture's wafer output at cost plus a small markup, sell the bits at whatever the market pays. Ninety-five cents of each incremental revenue dollar reached gross profit in FY2026, and the same mechanism operates in reverse.</w:t>
      </w:r>
    </w:p>
    <w:p>
      <w:pPr>
        <w:pStyle w:val="ListParagraph"/>
        <w:numPr>
          <w:ilvl w:val="0"/>
          <w:numId w:val="2"/>
        </w:numPr>
        <w:spacing w:after="110" w:line="280"/>
      </w:pPr>
      <w:r>
        <w:rPr>
          <w:rFonts w:ascii="Arial" w:cs="Arial" w:eastAsia="Arial" w:hAnsi="Arial"/>
          <w:sz w:val="22"/>
          <w:szCs w:val="22"/>
        </w:rPr>
        <w:t xml:space="preserve">The growth lever is price, not volume. Mid-teens percent more bits produced a 175% revenue year, and in the most recent quarter with data, exabytes were flat year on year.</w:t>
      </w:r>
    </w:p>
    <w:p>
      <w:pPr>
        <w:pStyle w:val="ListParagraph"/>
        <w:numPr>
          <w:ilvl w:val="0"/>
          <w:numId w:val="2"/>
        </w:numPr>
        <w:spacing w:after="110" w:line="280"/>
      </w:pPr>
      <w:r>
        <w:rPr>
          <w:rFonts w:ascii="Arial" w:cs="Arial" w:eastAsia="Arial" w:hAnsi="Arial"/>
          <w:sz w:val="22"/>
          <w:szCs w:val="22"/>
        </w:rPr>
        <w:t xml:space="preserve">What could break the story: a reversion in price per gigabyte into a cost base that does not fall, compounded by more than $31 billion of fab commitment made at the top and by inventory carried at peak wafer cost.</w:t>
      </w:r>
    </w:p>
    <w:p>
      <w:pPr>
        <w:pStyle w:val="ListParagraph"/>
        <w:numPr>
          <w:ilvl w:val="0"/>
          <w:numId w:val="2"/>
        </w:numPr>
        <w:spacing w:after="110" w:line="280"/>
      </w:pPr>
      <w:r>
        <w:rPr>
          <w:rFonts w:ascii="Arial" w:cs="Arial" w:eastAsia="Arial" w:hAnsi="Arial"/>
          <w:sz w:val="22"/>
          <w:szCs w:val="22"/>
        </w:rPr>
        <w:t xml:space="preserve">What to monitor: quarterly NAND contract prices, the exabyte-versus-price split in Sandisk's own MD&amp;A, and whether the long-term customer agreements hold their volumes when the price turns.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2026-09-07T15:21:25.747Z</dcterms:created>
  <dcterms:modified xsi:type="dcterms:W3CDTF">2026-09-07T15:21:25.747Z</dcterms:modified>
</cp:coreProperties>
</file>

<file path=docProps/custom.xml><?xml version="1.0" encoding="utf-8"?>
<Properties xmlns="http://schemas.openxmlformats.org/officeDocument/2006/custom-properties" xmlns:vt="http://schemas.openxmlformats.org/officeDocument/2006/docPropsVTypes"/>
</file>