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600"/>
      </w:pPr>
      <w:r>
        <w:rPr>
          <w:rFonts w:ascii="Arial" w:cs="Arial" w:eastAsia="Arial" w:hAnsi="Arial"/>
          <w:color w:val="595959"/>
          <w:sz w:val="28"/>
          <w:szCs w:val="28"/>
        </w:rPr>
        <w:t xml:space="preserve">Business Overview</w:t>
      </w:r>
    </w:p>
    <w:p>
      <w:pPr>
        <w:spacing w:after="80" w:before="120"/>
      </w:pPr>
      <w:r>
        <w:rPr>
          <w:rFonts w:ascii="Arial" w:cs="Arial" w:eastAsia="Arial" w:hAnsi="Arial"/>
          <w:b/>
          <w:bCs/>
          <w:color w:val="1F3864"/>
          <w:sz w:val="56"/>
          <w:szCs w:val="56"/>
        </w:rPr>
        <w:t xml:space="preserve">Snowflake Inc.</w:t>
      </w:r>
    </w:p>
    <w:p>
      <w:pPr>
        <w:spacing w:after="320"/>
      </w:pPr>
      <w:r>
        <w:rPr>
          <w:rFonts w:ascii="Arial" w:cs="Arial" w:eastAsia="Arial" w:hAnsi="Arial"/>
          <w:color w:val="595959"/>
          <w:sz w:val="26"/>
          <w:szCs w:val="26"/>
        </w:rPr>
        <w:t xml:space="preserve">NYSE: SNOW  ·  fiscal year ends 31 January</w:t>
      </w:r>
    </w:p>
    <w:p>
      <w:pPr>
        <w:pBdr>
          <w:top w:val="single" w:color="1F3864" w:sz="12"/>
        </w:pBdr>
        <w:spacing w:after="260"/>
      </w:pPr>
      <w:r>
        <w:rPr>
          <w:rFonts w:ascii="Arial" w:cs="Arial" w:eastAsia="Arial" w:hAnsi="Arial"/>
          <w:sz w:val="8"/>
          <w:szCs w:val="8"/>
        </w:rPr>
        <w:t xml:space="preserve"/>
      </w:r>
    </w:p>
    <w:p>
      <w:pPr>
        <w:spacing w:after="140" w:line="276"/>
      </w:pPr>
      <w:r>
        <w:rPr>
          <w:rFonts w:ascii="Arial" w:cs="Arial" w:eastAsia="Arial" w:hAnsi="Arial"/>
          <w:b/>
          <w:bCs/>
          <w:sz w:val="24"/>
          <w:szCs w:val="24"/>
        </w:rPr>
        <w:t xml:space="preserve">7 September 2026</w:t>
      </w:r>
    </w:p>
    <w:p>
      <w:pPr>
        <w:spacing w:after="140" w:line="276"/>
      </w:pPr>
      <w:r>
        <w:rPr>
          <w:rFonts w:ascii="Arial" w:cs="Arial" w:eastAsia="Arial" w:hAnsi="Arial"/>
          <w:sz w:val="20"/>
          <w:szCs w:val="20"/>
        </w:rPr>
        <w:t xml:space="preserve">Evidence base: Snowflake FY2021–FY2026 Forms 10-K, Forms 10-Q through Q2 FY2027 (quarter ended 31 July 2026, filed 4 September 2026), the Q2 FY2027 earnings release, the 2026 proxy statement and Item 5.02 current reports — supplemented by independent industry sources: competitors’ own filings and press releases, official vendor pricing and documentation, and named EU legislation.</w:t>
      </w:r>
    </w:p>
    <w:p>
      <w:pPr>
        <w:spacing w:after="140" w:line="276"/>
      </w:pPr>
      <w:r>
        <w:rPr>
          <w:rFonts w:ascii="Arial" w:cs="Arial" w:eastAsia="Arial" w:hAnsi="Arial"/>
          <w:sz w:val="20"/>
          <w:szCs w:val="20"/>
        </w:rPr>
        <w:t xml:space="preserve">Sources were both the provided filing archive and the open web. Company facts come from the filings; industry structure and competitor economics come from independent sources and are labelled where used.</w:t>
      </w:r>
    </w:p>
    <w:p>
      <w:pPr>
        <w:spacing w:after="140" w:line="276"/>
      </w:pPr>
      <w:r>
        <w:rPr>
          <w:rFonts w:ascii="Arial" w:cs="Arial" w:eastAsia="Arial" w:hAnsi="Arial"/>
          <w:i/>
          <w:iCs/>
          <w:sz w:val="20"/>
          <w:szCs w:val="20"/>
        </w:rPr>
        <w:t xml:space="preserve">This document explains how the business works and what drives its economics. It is not a valuation and not a recommendation. No price, multiple or target appears anywhere in it.</w:t>
      </w:r>
    </w:p>
    <w:p>
      <w:r>
        <w:br w:type="page"/>
      </w:r>
    </w:p>
    <w:p>
      <w:pPr>
        <w:pStyle w:val="Heading1"/>
        <w:spacing w:after="200" w:before="360"/>
      </w:pPr>
      <w:r>
        <w:rPr>
          <w:rFonts w:ascii="Arial" w:cs="Arial" w:eastAsia="Arial" w:hAnsi="Arial"/>
          <w:b/>
          <w:bCs/>
          <w:color w:val="1F3864"/>
          <w:sz w:val="32"/>
          <w:szCs w:val="32"/>
        </w:rPr>
        <w:t xml:space="preserve">1.  Executive Snapshot</w:t>
      </w:r>
    </w:p>
    <w:tbl>
      <w:tblPr>
        <w:tblW w:type="dxa" w:w="9360"/>
        <w:tblBorders>
          <w:top w:val="single" w:color="BFBFBF" w:sz="6"/>
          <w:left w:val="single" w:color="BFBFBF" w:sz="6"/>
          <w:bottom w:val="single" w:color="BFBFBF" w:sz="6"/>
          <w:right w:val="single" w:color="BFBFBF" w:sz="6"/>
          <w:insideH w:val="single" w:color="BFBFBF" w:sz="4"/>
          <w:insideV w:val="single" w:color="BFBFBF" w:sz="4"/>
        </w:tblBorders>
      </w:tblPr>
      <w:tblGrid>
        <w:gridCol w:w="2900"/>
        <w:gridCol w:w="6460"/>
      </w:tblGrid>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What the business is</w:t>
            </w:r>
          </w:p>
        </w:tc>
        <w:tc>
          <w:tcPr>
            <w:tcW w:type="dxa" w:w="64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A cloud data platform sold by consumption. Customers store data and run analytic, AI and transactional workloads on infrastructure Snowflake rents from AWS, Azure and GCP.</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Industry</w:t>
            </w:r>
          </w:p>
        </w:tc>
        <w:tc>
          <w:tcPr>
            <w:tcW w:type="dxa" w:w="646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Cloud data platforms and analytics infrastructure. One reportable segment; no revenue split by product line (FY2026 10-K).</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How it makes money</w:t>
            </w:r>
          </w:p>
        </w:tc>
        <w:tc>
          <w:tcPr>
            <w:tcW w:type="dxa" w:w="64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Customers sign capacity contracts of one to four years, are typically billed a year in advance, and revenue is recognised only as compute, storage and data transfer are actually consumed (FY2026 10-K).</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Unit of economics</w:t>
            </w:r>
          </w:p>
        </w:tc>
        <w:tc>
          <w:tcPr>
            <w:tcW w:type="dxa" w:w="646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One credit of consumed compute. List price $2.00 / $3.00 / $4.00 per credit by edition on AWS US East and West; storage $23.00 per TB per month (Snowflake Service Consumption Table, effective 1 September 2026). Credits consumed are not disclosed in any filing.</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What one revenue dollar earns</w:t>
            </w:r>
          </w:p>
        </w:tc>
        <w:tc>
          <w:tcPr>
            <w:tcW w:type="dxa" w:w="64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About 72 cents of GAAP product gross profit in FY2026, of which roughly 20 cents of cost goes to the hyperscalers — third-party cloud infrastructure was 71% of cost of product revenue (FY2026 10-K).</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What protects it</w:t>
            </w:r>
          </w:p>
        </w:tc>
        <w:tc>
          <w:tcPr>
            <w:tcW w:type="dxa" w:w="646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829 Forbes Global 2000 customers and 828 customers above $1M trailing product revenue; FedRAMP High and DoW Impact Level 4/5 accreditation; 53 regional deployments; infrastructure pricing negotiated from scale (Q2 FY2027 10-Q; FY2026 10-K).</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What drives earnings</w:t>
            </w:r>
          </w:p>
        </w:tc>
        <w:tc>
          <w:tcPr>
            <w:tcW w:type="dxa" w:w="64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Consumption expansion inside the existing base (97% of revenue), landing and graduating large accounts, and operating leverage on stock-based compensation.</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What to watch</w:t>
            </w:r>
          </w:p>
        </w:tc>
        <w:tc>
          <w:tcPr>
            <w:tcW w:type="dxa" w:w="646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Net revenue retention (126%, flat for three quarters), non-GAAP product gross margin (74.7%, falling), and the term of newly signed contracts (3.1 years in FY2026, 2.1 years in Q2 FY2027).</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Cycle exposure</w:t>
            </w:r>
          </w:p>
        </w:tc>
        <w:tc>
          <w:tcPr>
            <w:tcW w:type="dxa" w:w="64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High. Revenue is recognised on discretionary consumption. In the last downturn retention fell from 178% to 125% and has not recovered.</w:t>
            </w:r>
          </w:p>
        </w:tc>
      </w:tr>
    </w:tbl>
    <w:p>
      <w:r>
        <w:br w:type="page"/>
      </w:r>
    </w:p>
    <w:p>
      <w:pPr>
        <w:pStyle w:val="Heading1"/>
        <w:spacing w:after="200" w:before="360"/>
      </w:pPr>
      <w:r>
        <w:rPr>
          <w:rFonts w:ascii="Arial" w:cs="Arial" w:eastAsia="Arial" w:hAnsi="Arial"/>
          <w:b/>
          <w:bCs/>
          <w:color w:val="1F3864"/>
          <w:sz w:val="32"/>
          <w:szCs w:val="32"/>
        </w:rPr>
        <w:t xml:space="preserve">2.  What the Company Does</w:t>
      </w:r>
    </w:p>
    <w:p>
      <w:pPr>
        <w:pStyle w:val="Heading2"/>
        <w:spacing w:after="180" w:before="180"/>
      </w:pPr>
      <w:r>
        <w:rPr>
          <w:rFonts w:ascii="Arial" w:cs="Arial" w:eastAsia="Arial" w:hAnsi="Arial"/>
          <w:b/>
          <w:bCs/>
          <w:color w:val="1F3864"/>
          <w:sz w:val="28"/>
          <w:szCs w:val="28"/>
        </w:rPr>
        <w:t xml:space="preserve">The problem being solved</w:t>
      </w:r>
    </w:p>
    <w:p>
      <w:pPr>
        <w:spacing w:after="140" w:line="276"/>
      </w:pPr>
      <w:r>
        <w:rPr>
          <w:rFonts w:ascii="Arial" w:cs="Arial" w:eastAsia="Arial" w:hAnsi="Arial"/>
          <w:sz w:val="22"/>
          <w:szCs w:val="22"/>
        </w:rPr>
        <w:t xml:space="preserve">Large organisations hold data in systems that were each sized for their own peak load and cannot query one another. Snowflake sells a platform where storage and compute are separated and scaled independently, so a customer pays for query capacity only while a query is running and can point many workloads at one copy of the data without contention. The FY2026 10-K describes the architecture as "three independently scalable but logically integrated layers across storage, compute, and cloud services," running "on three major public clouds across 53 regional deployments." Snowflake owns none of that hardware; it rents it.</w:t>
      </w:r>
    </w:p>
    <w:p>
      <w:pPr>
        <w:pStyle w:val="Heading2"/>
        <w:spacing w:after="180" w:before="180"/>
      </w:pPr>
      <w:r>
        <w:rPr>
          <w:rFonts w:ascii="Arial" w:cs="Arial" w:eastAsia="Arial" w:hAnsi="Arial"/>
          <w:b/>
          <w:bCs/>
          <w:color w:val="1F3864"/>
          <w:sz w:val="28"/>
          <w:szCs w:val="28"/>
        </w:rPr>
        <w:t xml:space="preserve">The unit</w:t>
      </w:r>
    </w:p>
    <w:p>
      <w:pPr>
        <w:spacing w:after="140" w:line="276"/>
      </w:pPr>
      <w:r>
        <w:rPr>
          <w:rFonts w:ascii="Arial" w:cs="Arial" w:eastAsia="Arial" w:hAnsi="Arial"/>
          <w:sz w:val="22"/>
          <w:szCs w:val="22"/>
        </w:rPr>
        <w:t xml:space="preserve">The unit is one credit of consumed compute. Snowflake publishes the price and never publishes the volume. Its Service Consumption Table, effective 1 September 2026, lists $2.00, $3.00 and $4.00 per credit for the Standard, Enterprise and Business Critical editions on AWS US East and West, storage at $23.00 per terabyte per month, and AI inference from $0.03 to $30.00 per million tokens depending on the model. Compute is billed per second with a 60-second minimum, each warehouse size step roughly doubles both the compute and the credits consumed per hour, and a suspended warehouse consumes nothing (Snowflake product documentation). </w:t>
      </w:r>
      <w:r>
        <w:rPr>
          <w:rFonts w:ascii="Arial" w:cs="Arial" w:eastAsia="Arial" w:hAnsi="Arial"/>
          <w:b/>
          <w:bCs/>
          <w:sz w:val="22"/>
          <w:szCs w:val="22"/>
        </w:rPr>
        <w:t xml:space="preserve">The word "credit" does not appear as a consumption unit anywhere in the FY2021 through FY2026 10-Ks</w:t>
      </w:r>
      <w:r>
        <w:rPr>
          <w:rFonts w:ascii="Arial" w:cs="Arial" w:eastAsia="Arial" w:hAnsi="Arial"/>
          <w:sz w:val="22"/>
          <w:szCs w:val="22"/>
        </w:rPr>
        <w:t xml:space="preserve">, which describe consumption in terabytes stored, terabytes transferred and compute duration instead. Revenue is therefore the product of a price card the company publishes and a volume it does not report, and no outside party can decompose growth into units and price.</w:t>
      </w:r>
    </w:p>
    <w:p>
      <w:pPr>
        <w:pStyle w:val="Heading2"/>
        <w:spacing w:after="180" w:before="180"/>
      </w:pPr>
      <w:r>
        <w:rPr>
          <w:rFonts w:ascii="Arial" w:cs="Arial" w:eastAsia="Arial" w:hAnsi="Arial"/>
          <w:b/>
          <w:bCs/>
          <w:color w:val="1F3864"/>
          <w:sz w:val="28"/>
          <w:szCs w:val="28"/>
        </w:rPr>
        <w:t xml:space="preserve">One unit, from consumption to cash</w:t>
      </w:r>
    </w:p>
    <w:p>
      <w:pPr>
        <w:spacing w:after="140" w:line="276"/>
      </w:pPr>
      <w:r>
        <w:rPr>
          <w:rFonts w:ascii="Arial" w:cs="Arial" w:eastAsia="Arial" w:hAnsi="Arial"/>
          <w:sz w:val="22"/>
          <w:szCs w:val="22"/>
        </w:rPr>
        <w:t xml:space="preserve">A customer commits to a dollar amount of consumption over one to four years at negotiated prices, and Snowflake "typically bills its customers annually in advance of their consumption." The invoice lands on the balance sheet as deferred revenue. Revenue is recognised only when a workload actually runs. Consumption beyond the commitment, or after the contract expires, is billed as incremental usage; unused capacity generally rolls over to a subsequent order on the purchase of additional capacity. The contract is therefore a prepaid balance, not a subscription. Of FY2026 revenue, $2.2 billion was recognised out of the deferred revenue balance carried at 31 January 2025 (FY2026 10-K).</w:t>
      </w:r>
    </w:p>
    <w:p>
      <w:pPr>
        <w:spacing w:after="140" w:line="276"/>
      </w:pPr>
      <w:r>
        <w:rPr>
          <w:rFonts w:ascii="Arial" w:cs="Arial" w:eastAsia="Arial" w:hAnsi="Arial"/>
          <w:sz w:val="22"/>
          <w:szCs w:val="22"/>
        </w:rPr>
        <w:t xml:space="preserve">The company draws the conclusion itself: "we believe our deferred revenue is not a meaningful indicator of future revenue that will be recognized in any given time period," and, on the model as a whole, "</w:t>
      </w:r>
      <w:r>
        <w:rPr>
          <w:rFonts w:ascii="Arial" w:cs="Arial" w:eastAsia="Arial" w:hAnsi="Arial"/>
          <w:i/>
          <w:iCs/>
          <w:sz w:val="22"/>
          <w:szCs w:val="22"/>
        </w:rPr>
        <w:t xml:space="preserve">we do not have the visibility into the timing of revenue recognition that a typical subscription-based software company has</w:t>
      </w:r>
      <w:r>
        <w:rPr>
          <w:rFonts w:ascii="Arial" w:cs="Arial" w:eastAsia="Arial" w:hAnsi="Arial"/>
          <w:sz w:val="22"/>
          <w:szCs w:val="22"/>
        </w:rPr>
        <w:t xml:space="preserve">" (FY2026 10-K; repeated in the Q2 FY2027 10-Q). This is the single most consequential fact about the business. The $9.0 billion of remaining performance obligations at 31 July 2026 is a ceiling on near-term revenue, not a floor: the money is contracted, but Snowflake only earns it if the customer chooses to run the workload.</w:t>
      </w:r>
    </w:p>
    <w:p>
      <w:pPr>
        <w:pStyle w:val="Heading2"/>
        <w:spacing w:after="180" w:before="180"/>
      </w:pPr>
      <w:r>
        <w:rPr>
          <w:rFonts w:ascii="Arial" w:cs="Arial" w:eastAsia="Arial" w:hAnsi="Arial"/>
          <w:b/>
          <w:bCs/>
          <w:color w:val="1F3864"/>
          <w:sz w:val="28"/>
          <w:szCs w:val="28"/>
        </w:rPr>
        <w:t xml:space="preserve">What is sold, and what is being entered and exited</w:t>
      </w:r>
    </w:p>
    <w:p>
      <w:pPr>
        <w:spacing w:after="140" w:line="276"/>
      </w:pPr>
      <w:r>
        <w:rPr>
          <w:rFonts w:ascii="Arial" w:cs="Arial" w:eastAsia="Arial" w:hAnsi="Arial"/>
          <w:sz w:val="22"/>
          <w:szCs w:val="22"/>
        </w:rPr>
        <w:t xml:space="preserve">The FY2026 10-K organises the platform into six product categories — data engineering, analytics, transactions, AI, applications and collaboration. Product revenue is 96% of the total in Q2 FY2027; professional services and other is the remaining 4% and is now barely growing, up 1% year on year against 37% for product revenue. There is no revenue disclosure by product line and one reportable segment, so the mix inside that 96% is invisible from the outside.</w:t>
      </w:r>
    </w:p>
    <w:p>
      <w:pPr>
        <w:spacing w:after="140" w:line="276"/>
      </w:pPr>
      <w:r>
        <w:rPr>
          <w:rFonts w:ascii="Arial" w:cs="Arial" w:eastAsia="Arial" w:hAnsi="Arial"/>
          <w:sz w:val="22"/>
          <w:szCs w:val="22"/>
        </w:rPr>
        <w:t xml:space="preserve">The company is entering categories whose economics differ from the core. Transactions arrived with Crunchy Data (June 2025, $164.5M cash) and Snowflake Postgres reaching general availability in Q1 FY2027; observability arrived with Observe (February 2026, $595.8M); agentic AI arrived as CoWork and Cortex Code. The Q2 FY2027 10-Q names "new product offerings that are margin compressive" among its gross-margin drivers, and full-year non-GAAP product gross margin guidance was cut 100 basis points to 74.0% at the Q2 print. Meanwhile cybersecurity quietly stopped being a top-level product category between the FY2024 and FY2025 filings, Streamlit — bought for $650.8M in 2022 — disappears entirely from the FY2026 10-K, and the daily-query disclosure that ran from 777 million in FY2021 to roughly 4.2 billion in FY2024 was discontinued.</w:t>
      </w:r>
    </w:p>
    <w:p>
      <w:r>
        <w:br w:type="page"/>
      </w:r>
    </w:p>
    <w:p>
      <w:pPr>
        <w:pStyle w:val="Heading1"/>
        <w:spacing w:after="200" w:before="360"/>
      </w:pPr>
      <w:r>
        <w:rPr>
          <w:rFonts w:ascii="Arial" w:cs="Arial" w:eastAsia="Arial" w:hAnsi="Arial"/>
          <w:b/>
          <w:bCs/>
          <w:color w:val="1F3864"/>
          <w:sz w:val="32"/>
          <w:szCs w:val="32"/>
        </w:rPr>
        <w:t xml:space="preserve">3.  Industry, Competitive Position and Moat</w:t>
      </w:r>
    </w:p>
    <w:p>
      <w:pPr>
        <w:pStyle w:val="Heading2"/>
        <w:spacing w:after="180" w:before="180"/>
      </w:pPr>
      <w:r>
        <w:rPr>
          <w:rFonts w:ascii="Arial" w:cs="Arial" w:eastAsia="Arial" w:hAnsi="Arial"/>
          <w:b/>
          <w:bCs/>
          <w:color w:val="1F3864"/>
          <w:sz w:val="28"/>
          <w:szCs w:val="28"/>
        </w:rPr>
        <w:t xml:space="preserve">Where the profit pool actually sits</w:t>
      </w:r>
    </w:p>
    <w:p>
      <w:pPr>
        <w:spacing w:after="140" w:line="276"/>
      </w:pPr>
      <w:r>
        <w:rPr>
          <w:rFonts w:ascii="Arial" w:cs="Arial" w:eastAsia="Arial" w:hAnsi="Arial"/>
          <w:sz w:val="22"/>
          <w:szCs w:val="22"/>
        </w:rPr>
        <w:t xml:space="preserve">The industry sells the separation of storage from compute, plus governance over what runs against the data. Value is created along a chain: hyperscaler infrastructure, then the data platform, then the BI and application layer, then systems integrators. On disclosed segment figures the profit sits at the bottom of that chain, not in the middle. AWS earned a 35.4% operating margin on $128.7bn of FY2025 segment revenue and 39.3% in the June 2026 quarter; Microsoft Intelligent Cloud earned 41.4% on $137.8bn in FY2026; Google Cloud earned 35.5% in the June 2026 quarter (Amazon, Microsoft and Alphabet filings and earnings releases). Snowflake earned a 72% product gross margin in FY2026 and converted it to a GAAP operating margin of negative 30.6%. Confluent, the nearest structural analogue, was at negative 32.6% before IBM acquired it in March 2026.</w:t>
      </w:r>
    </w:p>
    <w:p>
      <w:pPr>
        <w:pStyle w:val="Heading2"/>
        <w:spacing w:after="180" w:before="180"/>
      </w:pPr>
      <w:r>
        <w:rPr>
          <w:rFonts w:ascii="Arial" w:cs="Arial" w:eastAsia="Arial" w:hAnsi="Arial"/>
          <w:b/>
          <w:bCs/>
          <w:color w:val="1F3864"/>
          <w:sz w:val="28"/>
          <w:szCs w:val="28"/>
        </w:rPr>
        <w:t xml:space="preserve">The supplier is the competitor</w:t>
      </w:r>
    </w:p>
    <w:p>
      <w:pPr>
        <w:spacing w:after="140" w:line="276"/>
      </w:pPr>
      <w:r>
        <w:rPr>
          <w:rFonts w:ascii="Arial" w:cs="Arial" w:eastAsia="Arial" w:hAnsi="Arial"/>
          <w:sz w:val="22"/>
          <w:szCs w:val="22"/>
        </w:rPr>
        <w:t xml:space="preserve">Snowflake states the relationship plainly: it offers the platform "on the public clouds provided by AWS, Azure, and GCP, </w:t>
      </w:r>
      <w:r>
        <w:rPr>
          <w:rFonts w:ascii="Arial" w:cs="Arial" w:eastAsia="Arial" w:hAnsi="Arial"/>
          <w:b/>
          <w:bCs/>
          <w:sz w:val="22"/>
          <w:szCs w:val="22"/>
        </w:rPr>
        <w:t xml:space="preserve">which are also some of our primary competitors</w:t>
      </w:r>
      <w:r>
        <w:rPr>
          <w:rFonts w:ascii="Arial" w:cs="Arial" w:eastAsia="Arial" w:hAnsi="Arial"/>
          <w:sz w:val="22"/>
          <w:szCs w:val="22"/>
        </w:rPr>
        <w:t xml:space="preserve">," that "a substantial majority of our business is run on the AWS public cloud," and that "our costs and gross margins are significantly influenced by the prices we are able to negotiate with these public cloud providers" (FY2026 10-K). Third-party cloud infrastructure was 71% of cost of product revenue in FY2026, up from 65% in FY2025.</w:t>
      </w:r>
    </w:p>
    <w:p>
      <w:pPr>
        <w:spacing w:after="140" w:line="276"/>
      </w:pPr>
      <w:r>
        <w:rPr>
          <w:rFonts w:ascii="Arial" w:cs="Arial" w:eastAsia="Arial" w:hAnsi="Arial"/>
          <w:sz w:val="22"/>
          <w:szCs w:val="22"/>
        </w:rPr>
        <w:t xml:space="preserve">The margin history shows this is a negotiated outcome rather than a structural one, and that scale is the only lever. Total gross margin ran 46.5% in FY2019 and 56.0% in FY2020 (S-1), and product gross margin reached 74% by FY2024. That twenty-five-point climb was bought with volume. The consequence is that Snowflake’s gross margin is set in an annual negotiation with three firms that sell the competing product, and the leverage in that negotiation only improves while Snowflake keeps buying more.</w:t>
      </w:r>
    </w:p>
    <w:p>
      <w:pPr>
        <w:pStyle w:val="Heading2"/>
        <w:spacing w:after="180" w:before="180"/>
      </w:pPr>
      <w:r>
        <w:rPr>
          <w:rFonts w:ascii="Arial" w:cs="Arial" w:eastAsia="Arial" w:hAnsi="Arial"/>
          <w:b/>
          <w:bCs/>
          <w:color w:val="1F3864"/>
          <w:sz w:val="28"/>
          <w:szCs w:val="28"/>
        </w:rPr>
        <w:t xml:space="preserve">Which barriers bind</w:t>
      </w:r>
    </w:p>
    <w:p>
      <w:pPr>
        <w:spacing w:after="140" w:line="276"/>
      </w:pPr>
      <w:r>
        <w:rPr>
          <w:rFonts w:ascii="Arial" w:cs="Arial" w:eastAsia="Arial" w:hAnsi="Arial"/>
          <w:sz w:val="22"/>
          <w:szCs w:val="22"/>
        </w:rPr>
        <w:t xml:space="preserve">Distribution binds, precisely because it is expensive. Snowflake went from 691 Forbes Global 2000 customers at the end of FY2024 to 829 at 31 July 2026 — roughly 138 logos in two and a half years, about 5% a year against a fixed universe, funded by a negative 30.6% GAAP operating margin and a sales and marketing budget running at 40% of revenue. Certification binds for the same reason: FedRAMP High and Department of War Impact Level 4 and 5 accreditation, and 53 regional deployments, take years and capital to assemble. Engine quality does not bind. ClickHouse, an open-source engine, reported $250M of ARR growing more than 200% with 4,000 customers in May 2026 (company self-report, unaudited).</w:t>
      </w:r>
    </w:p>
    <w:p>
      <w:pPr>
        <w:pStyle w:val="Heading2"/>
        <w:spacing w:after="180" w:before="180"/>
      </w:pPr>
      <w:r>
        <w:rPr>
          <w:rFonts w:ascii="Arial" w:cs="Arial" w:eastAsia="Arial" w:hAnsi="Arial"/>
          <w:b/>
          <w:bCs/>
          <w:color w:val="1F3864"/>
          <w:sz w:val="28"/>
          <w:szCs w:val="28"/>
        </w:rPr>
        <w:t xml:space="preserve">Which barriers do not — and the one Snowflake is dismantling itself</w:t>
      </w:r>
    </w:p>
    <w:p>
      <w:pPr>
        <w:spacing w:after="140" w:line="276"/>
      </w:pPr>
      <w:r>
        <w:rPr>
          <w:rFonts w:ascii="Arial" w:cs="Arial" w:eastAsia="Arial" w:hAnsi="Arial"/>
          <w:sz w:val="22"/>
          <w:szCs w:val="22"/>
        </w:rPr>
        <w:t xml:space="preserve">Storage gravity, long treated as the moat, is being given away by design. Snowflake adopted Apache Iceberg, and its own documentation states: "</w:t>
      </w:r>
      <w:r>
        <w:rPr>
          <w:rFonts w:ascii="Arial" w:cs="Arial" w:eastAsia="Arial" w:hAnsi="Arial"/>
          <w:i/>
          <w:iCs/>
          <w:sz w:val="22"/>
          <w:szCs w:val="22"/>
        </w:rPr>
        <w:t xml:space="preserve">Snowflake does not bill your account for Iceberg table storage costs when the table uses an external volume that you manage. Your cloud storage provider bills you directly.</w:t>
      </w:r>
      <w:r>
        <w:rPr>
          <w:rFonts w:ascii="Arial" w:cs="Arial" w:eastAsia="Arial" w:hAnsi="Arial"/>
          <w:sz w:val="22"/>
          <w:szCs w:val="22"/>
        </w:rPr>
        <w:t xml:space="preserve">" The FY2026 10-K risk factors draw the competitive conclusion without hedging: adopting open formats means "</w:t>
      </w:r>
      <w:r>
        <w:rPr>
          <w:rFonts w:ascii="Arial" w:cs="Arial" w:eastAsia="Arial" w:hAnsi="Arial"/>
          <w:b/>
          <w:bCs/>
          <w:sz w:val="22"/>
          <w:szCs w:val="22"/>
        </w:rPr>
        <w:t xml:space="preserve">there is less customer “lock in” when our products are used in external environments</w:t>
      </w:r>
      <w:r>
        <w:rPr>
          <w:rFonts w:ascii="Arial" w:cs="Arial" w:eastAsia="Arial" w:hAnsi="Arial"/>
          <w:sz w:val="22"/>
          <w:szCs w:val="22"/>
        </w:rPr>
        <w:t xml:space="preserve">," and "our support of open data formats may also reduce switching costs between us and our competitors." Every major vendor now reads and writes Iceberg — AWS S3 Tables uses it exclusively, and Databricks’ Unity Catalog is a full Iceberg REST catalog that explicitly federates Snowflake’s own Horizon Catalog, with no reverse federation documented. This is shipped product behaviour, not a hypothetical risk.</w:t>
      </w:r>
    </w:p>
    <w:p>
      <w:pPr>
        <w:spacing w:after="140" w:line="276"/>
      </w:pPr>
      <w:r>
        <w:rPr>
          <w:rFonts w:ascii="Arial" w:cs="Arial" w:eastAsia="Arial" w:hAnsi="Arial"/>
          <w:sz w:val="22"/>
          <w:szCs w:val="22"/>
        </w:rPr>
        <w:t xml:space="preserve">Contractual stickiness is also shorter than the model implies. Remaining performance obligations were $9.0bn at 31 July 2026 with about 54% expected to convert within twelve months, and the weighted-average term of contracts newly entered into fell from 3.1 years in FY2026 to 2.1 years in Q2 FY2027. Snowflake names "shortening committed contract durations" as one of the ways customers optimise. The EU Data Act, Regulation 2023/2854, applicable from 12 September 2025, sets a framework specifically intended to let customers switch data-processing providers. Real switching friction is operational — pipelines, SQL dialects, governance policy — and it is being reduced from both the product and the regulatory side.</w:t>
      </w:r>
    </w:p>
    <w:p>
      <w:pPr>
        <w:pStyle w:val="Heading2"/>
        <w:spacing w:after="180" w:before="180"/>
      </w:pPr>
      <w:r>
        <w:rPr>
          <w:rFonts w:ascii="Arial" w:cs="Arial" w:eastAsia="Arial" w:hAnsi="Arial"/>
          <w:b/>
          <w:bCs/>
          <w:color w:val="1F3864"/>
          <w:sz w:val="28"/>
          <w:szCs w:val="28"/>
        </w:rPr>
        <w:t xml:space="preserve">Competitors, and what cannot be seen</w:t>
      </w:r>
    </w:p>
    <w:p>
      <w:pPr>
        <w:spacing w:after="140" w:line="276"/>
      </w:pPr>
      <w:r>
        <w:rPr>
          <w:rFonts w:ascii="Arial" w:cs="Arial" w:eastAsia="Arial" w:hAnsi="Arial"/>
          <w:sz w:val="22"/>
          <w:szCs w:val="22"/>
        </w:rPr>
        <w:t xml:space="preserve">Snowflake has never named a single non-hyperscaler competitor in six annual filings. Its competition section lists AWS, Azure and GCP by name and then describes categories: less-established cloud companies, legacy database vendors, and — added in FY2026, the year before it bought Observe — "existing observability solution providers." The competitive facts that matter most are structurally unobservable. Databricks disclosed a revenue run-rate above $7bn growing more than 80% in August 2026 alongside a $190bn funding round, but has no S-1 on file, and discloses no GAAP revenue, no gross margin and no operating result. No hyperscaler discloses revenue for BigQuery, Redshift or Fabric. Comparing Snowflake’s 37% GAAP product revenue growth to Databricks’ 80% run-rate growth sets an audited figure against a self-reported one on an undisclosed definition.</w:t>
      </w:r>
    </w:p>
    <w:p>
      <w:pPr>
        <w:spacing w:after="140" w:line="276"/>
      </w:pPr>
      <w:r>
        <w:rPr>
          <w:rFonts w:ascii="Arial" w:cs="Arial" w:eastAsia="Arial" w:hAnsi="Arial"/>
          <w:sz w:val="22"/>
          <w:szCs w:val="22"/>
        </w:rPr>
        <w:t xml:space="preserve">Against the disclosing peer set, Snowflake’s position is specific. Its 67% total gross margin is the lowest of the independent software comparables — Palantir 82%, Datadog 80%, Elastic 76%, MongoDB 72% — because it alone resells compute it does not own. Its 126% net revenue retention is second only to Palantir’s 139% among disclosers and is earned on a far larger base than MongoDB (121%) or Elastic (112%). Snowflake is a retention outlier and a gross-margin laggard, and both facts have the same cause.</w:t>
      </w:r>
    </w:p>
    <w:p>
      <w:pPr>
        <w:pStyle w:val="Heading2"/>
        <w:spacing w:after="180" w:before="180"/>
      </w:pPr>
      <w:r>
        <w:rPr>
          <w:rFonts w:ascii="Arial" w:cs="Arial" w:eastAsia="Arial" w:hAnsi="Arial"/>
          <w:b/>
          <w:bCs/>
          <w:color w:val="1F3864"/>
          <w:sz w:val="28"/>
          <w:szCs w:val="28"/>
        </w:rPr>
        <w:t xml:space="preserve">What kind of company wins here</w:t>
      </w:r>
    </w:p>
    <w:p>
      <w:pPr>
        <w:spacing w:after="140" w:line="276"/>
      </w:pPr>
      <w:r>
        <w:rPr>
          <w:rFonts w:ascii="Arial" w:cs="Arial" w:eastAsia="Arial" w:hAnsi="Arial"/>
          <w:sz w:val="22"/>
          <w:szCs w:val="22"/>
        </w:rPr>
        <w:t xml:space="preserve">On the evidence, four things decide it: enough scale to negotiate infrastructure cost down; revenue earned from governance and workload orchestration rather than from bytes stored; an enterprise distribution and certification footprint that a better engine cannot shortcut; and the ability to grow through an optimisation cycle on new logos without needing retention to recover. Snowflake clearly satisfies the first, third and fourth. It is failing the second by choice — it bills nothing for customer-managed Iceberg storage — and the catalog layer it would need to hold instead is actively contested by a competitor that federates its catalog while it does not federate theirs.</w:t>
      </w:r>
    </w:p>
    <w:p>
      <w:r>
        <w:br w:type="page"/>
      </w:r>
    </w:p>
    <w:p>
      <w:pPr>
        <w:pStyle w:val="Heading1"/>
        <w:spacing w:after="200" w:before="360"/>
      </w:pPr>
      <w:r>
        <w:rPr>
          <w:rFonts w:ascii="Arial" w:cs="Arial" w:eastAsia="Arial" w:hAnsi="Arial"/>
          <w:b/>
          <w:bCs/>
          <w:color w:val="1F3864"/>
          <w:sz w:val="32"/>
          <w:szCs w:val="32"/>
        </w:rPr>
        <w:t xml:space="preserve">4.  Growth Engine</w:t>
      </w:r>
    </w:p>
    <w:p>
      <w:pPr>
        <w:spacing w:after="140" w:line="276"/>
      </w:pPr>
      <w:r>
        <w:rPr>
          <w:rFonts w:ascii="Arial" w:cs="Arial" w:eastAsia="Arial" w:hAnsi="Arial"/>
          <w:sz w:val="22"/>
          <w:szCs w:val="22"/>
        </w:rPr>
        <w:t xml:space="preserve">Product revenue grew 29% in FY2026 to $4,472.3M and then reaccelerated for three consecutive quarters: 30% in Q4 FY2026, 34% in Q1 FY2027, 37% in Q2 FY2027. Full-year FY2027 product revenue guidance was raised at the Q2 print from $5,840M (+31%) to $6,070M (+36%). Snowflake publishes no volume, price or mix decomposition, so the acceleration has to be read from the metrics that are disclosed.</w:t>
      </w:r>
    </w:p>
    <w:p>
      <w:pPr>
        <w:pStyle w:val="Heading2"/>
        <w:spacing w:after="180" w:before="180"/>
      </w:pPr>
      <w:r>
        <w:rPr>
          <w:rFonts w:ascii="Arial" w:cs="Arial" w:eastAsia="Arial" w:hAnsi="Arial"/>
          <w:b/>
          <w:bCs/>
          <w:color w:val="1F3864"/>
          <w:sz w:val="28"/>
          <w:szCs w:val="28"/>
        </w:rPr>
        <w:t xml:space="preserve">The acceleration is not explained by the disclosed metrics</w:t>
      </w:r>
    </w:p>
    <w:p>
      <w:pPr>
        <w:spacing w:after="140" w:line="276"/>
      </w:pPr>
      <w:r>
        <w:rPr>
          <w:rFonts w:ascii="Arial" w:cs="Arial" w:eastAsia="Arial" w:hAnsi="Arial"/>
          <w:sz w:val="22"/>
          <w:szCs w:val="22"/>
        </w:rPr>
        <w:t xml:space="preserve">The 10-Q gives a single cause: revenue rose "primarily due to increased consumption of our platform by existing customers, as evidenced by our net revenue retention rate of 126%." But retention barely moved — 125%, 126%, 126% across the three quarters of acceleration. Customer-count growth moved the wrong way: customers above $1M trailing product revenue grew 27% year on year against 29% the quarter before, and net new customer additions grew 32% against 38% and 40% in the two prior quarters. Remaining performance obligations decelerated from 42% growth to 30% and fell $770M in absolute dollars from the January peak. So the eight points of acceleration came neither from broader per-customer expansion nor from faster logo capture, and no disclosed series identifies the source.</w:t>
      </w:r>
    </w:p>
    <w:p>
      <w:pPr>
        <w:pStyle w:val="Heading2"/>
        <w:spacing w:after="180" w:before="180"/>
      </w:pPr>
      <w:r>
        <w:rPr>
          <w:rFonts w:ascii="Arial" w:cs="Arial" w:eastAsia="Arial" w:hAnsi="Arial"/>
          <w:b/>
          <w:bCs/>
          <w:color w:val="1F3864"/>
          <w:sz w:val="28"/>
          <w:szCs w:val="28"/>
        </w:rPr>
        <w:t xml:space="preserve">Reported growth versus organic growth</w:t>
      </w:r>
    </w:p>
    <w:p>
      <w:pPr>
        <w:spacing w:after="140" w:line="276"/>
      </w:pPr>
      <w:r>
        <w:rPr>
          <w:rFonts w:ascii="Arial" w:cs="Arial" w:eastAsia="Arial" w:hAnsi="Arial"/>
          <w:sz w:val="22"/>
          <w:szCs w:val="22"/>
        </w:rPr>
        <w:t xml:space="preserve">Snowflake does not disclose an organic and inorganic split. The word "organic" appears zero times in the FY2026 10-K and in both FY2027 10-Qs, and the revenue contribution of every acquisition back to Streamlit in FY2023 is described as "not material." What can be established is the scale of purchase accounting in the relevant window: </w:t>
      </w:r>
      <w:r>
        <w:rPr>
          <w:rFonts w:ascii="Arial" w:cs="Arial" w:eastAsia="Arial" w:hAnsi="Arial"/>
          <w:b/>
          <w:bCs/>
          <w:sz w:val="22"/>
          <w:szCs w:val="22"/>
        </w:rPr>
        <w:t xml:space="preserve">goodwill rose $444.6M in the first half of FY2027 — Observe $342.8M and Natoma $101.8M — and net intangibles rose $179.6M, roughly $624M of purchase-price allocation landing in exactly the two quarters of reported acceleration</w:t>
      </w:r>
      <w:r>
        <w:rPr>
          <w:rFonts w:ascii="Arial" w:cs="Arial" w:eastAsia="Arial" w:hAnsi="Arial"/>
          <w:sz w:val="22"/>
          <w:szCs w:val="22"/>
        </w:rPr>
        <w:t xml:space="preserve">. The Observe pro forma table in the Q2 FY2027 10-Q implies Observe was running near $25M a year before the deal, worth roughly half a point of FY2027 growth. Acquisitions are therefore a real but small contributor, and the investor cannot size them more precisely than that from the disclosure.</w:t>
      </w:r>
    </w:p>
    <w:p>
      <w:pPr>
        <w:pStyle w:val="Heading2"/>
        <w:spacing w:after="180" w:before="180"/>
      </w:pPr>
      <w:r>
        <w:rPr>
          <w:rFonts w:ascii="Arial" w:cs="Arial" w:eastAsia="Arial" w:hAnsi="Arial"/>
          <w:b/>
          <w:bCs/>
          <w:color w:val="1F3864"/>
          <w:sz w:val="28"/>
          <w:szCs w:val="28"/>
        </w:rPr>
        <w:t xml:space="preserve">Growth drivers, ranked</w:t>
      </w:r>
    </w:p>
    <w:p>
      <w:pPr>
        <w:pStyle w:val="ListParagraph"/>
        <w:numPr>
          <w:ilvl w:val="0"/>
          <w:numId w:val="2"/>
        </w:numPr>
        <w:spacing w:after="100" w:line="276"/>
      </w:pPr>
      <w:r>
        <w:rPr>
          <w:rFonts w:ascii="Arial" w:cs="Arial" w:eastAsia="Arial" w:hAnsi="Arial"/>
          <w:b/>
          <w:bCs/>
          <w:sz w:val="22"/>
          <w:szCs w:val="22"/>
        </w:rPr>
        <w:t xml:space="preserve">Consumption expansion within the existing base — structural. </w:t>
      </w:r>
      <w:r>
        <w:rPr>
          <w:rFonts w:ascii="Arial" w:cs="Arial" w:eastAsia="Arial" w:hAnsi="Arial"/>
          <w:sz w:val="22"/>
          <w:szCs w:val="22"/>
        </w:rPr>
        <w:t xml:space="preserve">Capacity arrangements with existing customers were about 97% of revenue in Q2 FY2027 and retention is 126%, which alone contributes roughly twenty-six points of growth before a single new logo. This is the engine.</w:t>
      </w:r>
    </w:p>
    <w:p>
      <w:pPr>
        <w:pStyle w:val="ListParagraph"/>
        <w:numPr>
          <w:ilvl w:val="0"/>
          <w:numId w:val="2"/>
        </w:numPr>
        <w:spacing w:after="100" w:line="276"/>
      </w:pPr>
      <w:r>
        <w:rPr>
          <w:rFonts w:ascii="Arial" w:cs="Arial" w:eastAsia="Arial" w:hAnsi="Arial"/>
          <w:b/>
          <w:bCs/>
          <w:sz w:val="22"/>
          <w:szCs w:val="22"/>
        </w:rPr>
        <w:t xml:space="preserve">Landing and graduating large accounts — management-driven. </w:t>
      </w:r>
      <w:r>
        <w:rPr>
          <w:rFonts w:ascii="Arial" w:cs="Arial" w:eastAsia="Arial" w:hAnsi="Arial"/>
          <w:sz w:val="22"/>
          <w:szCs w:val="22"/>
        </w:rPr>
        <w:t xml:space="preserve">828 customers above $1M trailing product revenue account for 68% of product revenue; 156 are above $5M and 65 above $10M. The entire sales and marketing budget, 40% of revenue, exists to move accounts up this ladder.</w:t>
      </w:r>
    </w:p>
    <w:p>
      <w:pPr>
        <w:pStyle w:val="ListParagraph"/>
        <w:numPr>
          <w:ilvl w:val="0"/>
          <w:numId w:val="2"/>
        </w:numPr>
        <w:spacing w:after="100" w:line="276"/>
      </w:pPr>
      <w:r>
        <w:rPr>
          <w:rFonts w:ascii="Arial" w:cs="Arial" w:eastAsia="Arial" w:hAnsi="Arial"/>
          <w:b/>
          <w:bCs/>
          <w:sz w:val="22"/>
          <w:szCs w:val="22"/>
        </w:rPr>
        <w:t xml:space="preserve">AI workloads — claimed structural, currently unproven. </w:t>
      </w:r>
      <w:r>
        <w:rPr>
          <w:rFonts w:ascii="Arial" w:cs="Arial" w:eastAsia="Arial" w:hAnsi="Arial"/>
          <w:sz w:val="22"/>
          <w:szCs w:val="22"/>
        </w:rPr>
        <w:t xml:space="preserve">The CFO attributes part of the acceleration to "a meaningful step-up in AI revenue," but Snowflake discloses account counts and not revenue: CoCo at 9,100 accounts, CoWork at 5,800. Adoption counts without a revenue figure is the disclosure pattern of a product not yet material enough to disclose.</w:t>
      </w:r>
    </w:p>
    <w:p>
      <w:pPr>
        <w:pStyle w:val="ListParagraph"/>
        <w:numPr>
          <w:ilvl w:val="0"/>
          <w:numId w:val="2"/>
        </w:numPr>
        <w:spacing w:after="100" w:line="276"/>
      </w:pPr>
      <w:r>
        <w:rPr>
          <w:rFonts w:ascii="Arial" w:cs="Arial" w:eastAsia="Arial" w:hAnsi="Arial"/>
          <w:b/>
          <w:bCs/>
          <w:sz w:val="22"/>
          <w:szCs w:val="22"/>
        </w:rPr>
        <w:t xml:space="preserve">Acquisitions — management-driven. </w:t>
      </w:r>
      <w:r>
        <w:rPr>
          <w:rFonts w:ascii="Arial" w:cs="Arial" w:eastAsia="Arial" w:hAnsi="Arial"/>
          <w:sz w:val="22"/>
          <w:szCs w:val="22"/>
        </w:rPr>
        <w:t xml:space="preserve">Roughly $624M of goodwill and intangibles added in the half, with no disclosed revenue contribution and no organic split.</w:t>
      </w:r>
    </w:p>
    <w:p>
      <w:pPr>
        <w:pStyle w:val="ListParagraph"/>
        <w:numPr>
          <w:ilvl w:val="0"/>
          <w:numId w:val="2"/>
        </w:numPr>
        <w:spacing w:after="100" w:line="276"/>
      </w:pPr>
      <w:r>
        <w:rPr>
          <w:rFonts w:ascii="Arial" w:cs="Arial" w:eastAsia="Arial" w:hAnsi="Arial"/>
          <w:b/>
          <w:bCs/>
          <w:sz w:val="22"/>
          <w:szCs w:val="22"/>
        </w:rPr>
        <w:t xml:space="preserve">Geography — structurally flat, not a lever. </w:t>
      </w:r>
      <w:r>
        <w:rPr>
          <w:rFonts w:ascii="Arial" w:cs="Arial" w:eastAsia="Arial" w:hAnsi="Arial"/>
          <w:sz w:val="22"/>
          <w:szCs w:val="22"/>
        </w:rPr>
        <w:t xml:space="preserve">The United States was 75.2% of FY2026 revenue, and international grew at essentially the same rate as the US in Q1 FY2027 (34.9% against 33.0%). Years of international investment have not shifted the mix.</w:t>
      </w:r>
    </w:p>
    <w:p>
      <w:pPr>
        <w:pStyle w:val="Heading2"/>
        <w:spacing w:after="180" w:before="180"/>
      </w:pPr>
      <w:r>
        <w:rPr>
          <w:rFonts w:ascii="Arial" w:cs="Arial" w:eastAsia="Arial" w:hAnsi="Arial"/>
          <w:b/>
          <w:bCs/>
          <w:color w:val="1F3864"/>
          <w:sz w:val="28"/>
          <w:szCs w:val="28"/>
        </w:rPr>
        <w:t xml:space="preserve">The headwind the model must outrun every year</w:t>
      </w:r>
    </w:p>
    <w:p>
      <w:pPr>
        <w:spacing w:after="140" w:line="276"/>
      </w:pPr>
      <w:r>
        <w:rPr>
          <w:rFonts w:ascii="Arial" w:cs="Arial" w:eastAsia="Arial" w:hAnsi="Arial"/>
          <w:sz w:val="22"/>
          <w:szCs w:val="22"/>
        </w:rPr>
        <w:t xml:space="preserve">Because revenue is recognised on consumption, growth requires new workloads to arrive faster than engine efficiency removes old ones. Snowflake states the mechanism itself: better storage compression, processor improvements and compute optimisation "</w:t>
      </w:r>
      <w:r>
        <w:rPr>
          <w:rFonts w:ascii="Arial" w:cs="Arial" w:eastAsia="Arial" w:hAnsi="Arial"/>
          <w:i/>
          <w:iCs/>
          <w:sz w:val="22"/>
          <w:szCs w:val="22"/>
        </w:rPr>
        <w:t xml:space="preserve">may make our platform more efficient, enabling customers to consume fewer compute, storage, and data transfer resources to accomplish the same workloads</w:t>
      </w:r>
      <w:r>
        <w:rPr>
          <w:rFonts w:ascii="Arial" w:cs="Arial" w:eastAsia="Arial" w:hAnsi="Arial"/>
          <w:sz w:val="22"/>
          <w:szCs w:val="22"/>
        </w:rPr>
        <w:t xml:space="preserve">," and "to the extent these improvements do not result in an offsetting increase in new workloads, we may experience lower revenue." Unlike a seat-priced business, </w:t>
      </w:r>
      <w:r>
        <w:rPr>
          <w:rFonts w:ascii="Arial" w:cs="Arial" w:eastAsia="Arial" w:hAnsi="Arial"/>
          <w:b/>
          <w:bCs/>
          <w:sz w:val="22"/>
          <w:szCs w:val="22"/>
        </w:rPr>
        <w:t xml:space="preserve">Snowflake’s revenue falls when its product improves</w:t>
      </w:r>
      <w:r>
        <w:rPr>
          <w:rFonts w:ascii="Arial" w:cs="Arial" w:eastAsia="Arial" w:hAnsi="Arial"/>
          <w:sz w:val="22"/>
          <w:szCs w:val="22"/>
        </w:rPr>
        <w:t xml:space="preserve">, unless volume fills the gap. Every generation of faster silicon is a price cut whose timing the company does not control.</w:t>
      </w:r>
    </w:p>
    <w:p>
      <w:r>
        <w:br w:type="page"/>
      </w:r>
    </w:p>
    <w:p>
      <w:pPr>
        <w:pStyle w:val="Heading1"/>
        <w:spacing w:after="200" w:before="360"/>
      </w:pPr>
      <w:r>
        <w:rPr>
          <w:rFonts w:ascii="Arial" w:cs="Arial" w:eastAsia="Arial" w:hAnsi="Arial"/>
          <w:b/>
          <w:bCs/>
          <w:color w:val="1F3864"/>
          <w:sz w:val="32"/>
          <w:szCs w:val="32"/>
        </w:rPr>
        <w:t xml:space="preserve">5.  Margin, Cash and Capital Allocation</w:t>
      </w:r>
    </w:p>
    <w:p>
      <w:pPr>
        <w:pStyle w:val="Heading2"/>
        <w:spacing w:after="180" w:before="180"/>
      </w:pPr>
      <w:r>
        <w:rPr>
          <w:rFonts w:ascii="Arial" w:cs="Arial" w:eastAsia="Arial" w:hAnsi="Arial"/>
          <w:b/>
          <w:bCs/>
          <w:color w:val="1F3864"/>
          <w:sz w:val="28"/>
          <w:szCs w:val="28"/>
        </w:rPr>
        <w:t xml:space="preserve">Gross margin has turned</w:t>
      </w:r>
    </w:p>
    <w:p>
      <w:pPr>
        <w:spacing w:after="140" w:line="276"/>
      </w:pPr>
      <w:r>
        <w:rPr>
          <w:rFonts w:ascii="Arial" w:cs="Arial" w:eastAsia="Arial" w:hAnsi="Arial"/>
          <w:sz w:val="22"/>
          <w:szCs w:val="22"/>
        </w:rPr>
        <w:t xml:space="preserve">GAAP product gross margin was 72% in FY2026 and 70.9% in Q2 FY2027; non-GAAP was 76% and 74.7% on the same comparison. The direction has changed. The cause is identified in the filings: third-party cloud infrastructure rose to 71% of cost of product revenue in FY2026 from 65% the year before, and $113.6M of the $132.1M year-on-year increase in Q2 FY2027 cost of product revenue was cloud infrastructure "including AI inference and GPUs." At the Q2 print Snowflake cut full-year non-GAAP product gross margin guidance from 75.0% to 74.0% while raising operating margin guidance from 13.5% to 14.5%. AI mix is diluting the gross margin and operating leverage is more than offsetting it — for now.</w:t>
      </w:r>
    </w:p>
    <w:p>
      <w:pPr>
        <w:pStyle w:val="Heading2"/>
        <w:spacing w:after="180" w:before="180"/>
      </w:pPr>
      <w:r>
        <w:rPr>
          <w:rFonts w:ascii="Arial" w:cs="Arial" w:eastAsia="Arial" w:hAnsi="Arial"/>
          <w:b/>
          <w:bCs/>
          <w:color w:val="1F3864"/>
          <w:sz w:val="28"/>
          <w:szCs w:val="28"/>
        </w:rPr>
        <w:t xml:space="preserve">The supplier problem, restated for AI</w:t>
      </w:r>
    </w:p>
    <w:p>
      <w:pPr>
        <w:spacing w:after="140" w:line="276"/>
      </w:pPr>
      <w:r>
        <w:rPr>
          <w:rFonts w:ascii="Arial" w:cs="Arial" w:eastAsia="Arial" w:hAnsi="Arial"/>
          <w:sz w:val="22"/>
          <w:szCs w:val="22"/>
        </w:rPr>
        <w:t xml:space="preserve">The Q2 FY2027 10-Q rewrote the AI risk factor, and the rewrite is where the margin mechanism appears: "</w:t>
      </w:r>
      <w:r>
        <w:rPr>
          <w:rFonts w:ascii="Arial" w:cs="Arial" w:eastAsia="Arial" w:hAnsi="Arial"/>
          <w:i/>
          <w:iCs/>
          <w:sz w:val="22"/>
          <w:szCs w:val="22"/>
        </w:rPr>
        <w:t xml:space="preserve">Frontier proprietary AI model providers have a strong market position and, as a result, enjoy substantial leverage over the prices of their technology... In order to gain and retain access to frontier AI models and remain competitive, we have accepted and may continue to accept pricing and other terms that deviate from our standard commercial terms... and contribute to margin compression from our AI offerings.</w:t>
      </w:r>
      <w:r>
        <w:rPr>
          <w:rFonts w:ascii="Arial" w:cs="Arial" w:eastAsia="Arial" w:hAnsi="Arial"/>
          <w:sz w:val="22"/>
          <w:szCs w:val="22"/>
        </w:rPr>
        <w:t xml:space="preserve">" Snowflake names Anthropic and OpenAI as service providers and has committed $390M over three years to a third-party AI provider, $270M of it outstanding at 31 July 2026. The AI growth story and the gross-margin decline are the same fact seen from two ends.</w:t>
      </w:r>
    </w:p>
    <w:p>
      <w:pPr>
        <w:pStyle w:val="Heading2"/>
        <w:spacing w:after="180" w:before="180"/>
      </w:pPr>
      <w:r>
        <w:rPr>
          <w:rFonts w:ascii="Arial" w:cs="Arial" w:eastAsia="Arial" w:hAnsi="Arial"/>
          <w:b/>
          <w:bCs/>
          <w:color w:val="1F3864"/>
          <w:sz w:val="28"/>
          <w:szCs w:val="28"/>
        </w:rPr>
        <w:t xml:space="preserve">Operating leverage is a stock-compensation story</w:t>
      </w:r>
    </w:p>
    <w:p>
      <w:pPr>
        <w:spacing w:after="140" w:line="276"/>
      </w:pPr>
      <w:r>
        <w:rPr>
          <w:rFonts w:ascii="Arial" w:cs="Arial" w:eastAsia="Arial" w:hAnsi="Arial"/>
          <w:sz w:val="22"/>
          <w:szCs w:val="22"/>
        </w:rPr>
        <w:t xml:space="preserve">GAAP operating margin improved from negative 40.1% in FY2025 to negative 30.6% in FY2026 to negative 17.0% in Q2 FY2027; non-GAAP operating margin reached a record 15.3% in the quarter. The mechanism is narrow: stock-based compensation charges rose 4.6% year on year in Q2 FY2027 while revenue rose 35%, which took SBC from 38.1% to 29.5% of revenue. It works only while revenue growth outruns SBC dollars. Unrecognised SBC was roughly $3.8bn at 31 July 2026 over 2.6 years, and new grants keep arriving: $212.0M of RSUs from Observe, $54.4M from Natoma, and a 1,000,000-unit performance award to the CEO in July 2026 whose grant-date fair value is not disclosed in the 8-K.</w:t>
      </w:r>
    </w:p>
    <w:p>
      <w:pPr>
        <w:pStyle w:val="Heading2"/>
        <w:spacing w:after="180" w:before="180"/>
      </w:pPr>
      <w:r>
        <w:rPr>
          <w:rFonts w:ascii="Arial" w:cs="Arial" w:eastAsia="Arial" w:hAnsi="Arial"/>
          <w:b/>
          <w:bCs/>
          <w:color w:val="1F3864"/>
          <w:sz w:val="28"/>
          <w:szCs w:val="28"/>
        </w:rPr>
        <w:t xml:space="preserve">The financial spine</w:t>
      </w:r>
    </w:p>
    <w:tbl>
      <w:tblPr>
        <w:tblW w:type="dxa" w:w="9360"/>
        <w:tblBorders>
          <w:top w:val="single" w:color="BFBFBF" w:sz="6"/>
          <w:left w:val="single" w:color="BFBFBF" w:sz="6"/>
          <w:bottom w:val="single" w:color="BFBFBF" w:sz="6"/>
          <w:right w:val="single" w:color="BFBFBF" w:sz="6"/>
          <w:insideH w:val="single" w:color="BFBFBF" w:sz="4"/>
          <w:insideV w:val="single" w:color="BFBFBF" w:sz="4"/>
        </w:tblBorders>
      </w:tblPr>
      <w:tblGrid>
        <w:gridCol w:w="2900"/>
        <w:gridCol w:w="1615"/>
        <w:gridCol w:w="1615"/>
        <w:gridCol w:w="1615"/>
        <w:gridCol w:w="1615"/>
      </w:tblGrid>
      <w:tr>
        <w:trPr>
          <w:tblHeader/>
        </w:trPr>
        <w:tc>
          <w:tcPr>
            <w:tcW w:type="dxa" w:w="290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
            </w:r>
          </w:p>
        </w:tc>
        <w:tc>
          <w:tcPr>
            <w:tcW w:type="dxa" w:w="1615"/>
            <w:shd w:fill="E8EDF5" w:color="auto" w:val="clear"/>
            <w:tcMar>
              <w:top w:type="dxa" w:w="80"/>
              <w:left w:type="dxa" w:w="120"/>
              <w:bottom w:type="dxa" w:w="80"/>
              <w:right w:type="dxa" w:w="120"/>
            </w:tcMar>
          </w:tcPr>
          <w:p>
            <w:pPr>
              <w:spacing w:after="30" w:before="30"/>
              <w:jc w:val="right"/>
            </w:pPr>
            <w:r>
              <w:rPr>
                <w:rFonts w:ascii="Arial" w:cs="Arial" w:eastAsia="Arial" w:hAnsi="Arial"/>
                <w:b/>
                <w:bCs/>
                <w:sz w:val="20"/>
                <w:szCs w:val="20"/>
              </w:rPr>
              <w:t xml:space="preserve">FY2024</w:t>
            </w:r>
          </w:p>
        </w:tc>
        <w:tc>
          <w:tcPr>
            <w:tcW w:type="dxa" w:w="1615"/>
            <w:shd w:fill="E8EDF5" w:color="auto" w:val="clear"/>
            <w:tcMar>
              <w:top w:type="dxa" w:w="80"/>
              <w:left w:type="dxa" w:w="120"/>
              <w:bottom w:type="dxa" w:w="80"/>
              <w:right w:type="dxa" w:w="120"/>
            </w:tcMar>
          </w:tcPr>
          <w:p>
            <w:pPr>
              <w:spacing w:after="30" w:before="30"/>
              <w:jc w:val="right"/>
            </w:pPr>
            <w:r>
              <w:rPr>
                <w:rFonts w:ascii="Arial" w:cs="Arial" w:eastAsia="Arial" w:hAnsi="Arial"/>
                <w:b/>
                <w:bCs/>
                <w:sz w:val="20"/>
                <w:szCs w:val="20"/>
              </w:rPr>
              <w:t xml:space="preserve">FY2025</w:t>
            </w:r>
          </w:p>
        </w:tc>
        <w:tc>
          <w:tcPr>
            <w:tcW w:type="dxa" w:w="1615"/>
            <w:shd w:fill="E8EDF5" w:color="auto" w:val="clear"/>
            <w:tcMar>
              <w:top w:type="dxa" w:w="80"/>
              <w:left w:type="dxa" w:w="120"/>
              <w:bottom w:type="dxa" w:w="80"/>
              <w:right w:type="dxa" w:w="120"/>
            </w:tcMar>
          </w:tcPr>
          <w:p>
            <w:pPr>
              <w:spacing w:after="30" w:before="30"/>
              <w:jc w:val="right"/>
            </w:pPr>
            <w:r>
              <w:rPr>
                <w:rFonts w:ascii="Arial" w:cs="Arial" w:eastAsia="Arial" w:hAnsi="Arial"/>
                <w:b/>
                <w:bCs/>
                <w:sz w:val="20"/>
                <w:szCs w:val="20"/>
              </w:rPr>
              <w:t xml:space="preserve">FY2026</w:t>
            </w:r>
          </w:p>
        </w:tc>
        <w:tc>
          <w:tcPr>
            <w:tcW w:type="dxa" w:w="1615"/>
            <w:shd w:fill="E8EDF5" w:color="auto" w:val="clear"/>
            <w:tcMar>
              <w:top w:type="dxa" w:w="80"/>
              <w:left w:type="dxa" w:w="120"/>
              <w:bottom w:type="dxa" w:w="80"/>
              <w:right w:type="dxa" w:w="120"/>
            </w:tcMar>
          </w:tcPr>
          <w:p>
            <w:pPr>
              <w:spacing w:after="30" w:before="30"/>
              <w:jc w:val="right"/>
            </w:pPr>
            <w:r>
              <w:rPr>
                <w:rFonts w:ascii="Arial" w:cs="Arial" w:eastAsia="Arial" w:hAnsi="Arial"/>
                <w:b/>
                <w:bCs/>
                <w:sz w:val="20"/>
                <w:szCs w:val="20"/>
              </w:rPr>
              <w:t xml:space="preserve">Q2 FY2027</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Product revenue ($M)</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2,666.8</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3,462.4</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4,472.3</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1,491.9</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Product revenue growth</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+38%</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+30%</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+29%</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+37%</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GAAP product gross margin</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74%</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71%</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72%</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70.9%</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GAAP operating margin</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(39.0%)</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(40.1%)</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(30.6%)</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(17.0%)</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Non-GAAP operating margin</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n/d</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n/d</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10%</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15.3%</w:t>
            </w:r>
          </w:p>
        </w:tc>
      </w:tr>
      <w:tr>
        <w:tc>
          <w:tcPr>
            <w:tcW w:type="dxa" w:w="29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Free cash flow ($M, % of revenue)</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778.9 / 27.8%</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884.1 / 24.4%</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1,120.3 / 23.9%</w:t>
            </w:r>
          </w:p>
        </w:tc>
        <w:tc>
          <w:tcPr>
            <w:tcW w:type="dxa" w:w="1615"/>
            <w:shd w:fill="F5F7FA" w:color="auto" w:val="clear"/>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83.8 / 5.4%</w:t>
            </w:r>
          </w:p>
        </w:tc>
      </w:tr>
      <w:tr>
        <w:tc>
          <w:tcPr>
            <w:tcW w:type="dxa" w:w="29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Net revenue retention</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131%</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126%</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125%</w:t>
            </w:r>
          </w:p>
        </w:tc>
        <w:tc>
          <w:tcPr>
            <w:tcW w:type="dxa" w:w="1615"/>
            <w:tcMar>
              <w:top w:type="dxa" w:w="80"/>
              <w:left w:type="dxa" w:w="120"/>
              <w:bottom w:type="dxa" w:w="80"/>
              <w:right w:type="dxa" w:w="120"/>
            </w:tcMar>
          </w:tcPr>
          <w:p>
            <w:pPr>
              <w:spacing w:after="30" w:before="30"/>
              <w:jc w:val="right"/>
            </w:pPr>
            <w:r>
              <w:rPr>
                <w:rFonts w:ascii="Arial" w:cs="Arial" w:eastAsia="Arial" w:hAnsi="Arial"/>
                <w:b w:val="false"/>
                <w:bCs w:val="false"/>
                <w:sz w:val="20"/>
                <w:szCs w:val="20"/>
              </w:rPr>
              <w:t xml:space="preserve">126%</w:t>
            </w:r>
          </w:p>
        </w:tc>
      </w:tr>
    </w:tbl>
    <w:p>
      <w:pPr>
        <w:spacing w:after="200" w:before="80"/>
      </w:pPr>
      <w:r>
        <w:rPr>
          <w:rFonts w:ascii="Arial" w:cs="Arial" w:eastAsia="Arial" w:hAnsi="Arial"/>
          <w:i/>
          <w:iCs/>
          <w:color w:val="595959"/>
          <w:sz w:val="18"/>
          <w:szCs w:val="18"/>
        </w:rPr>
        <w:t xml:space="preserve">Sources: FY2024–FY2026 10-Ks; Q2 FY2027 10-Q; FY2026 and Q2 FY2027 earnings releases. Three comparability breaks apply. FY2026 is not clean against FY2025: Snowflake stopped capitalising internal-use software in FY2026 ($29.4M in FY2025 to nil) after it began marketing the platform to public-sector customers with rights to take possession, moving development cost from ASC 350-40 to ASC 985-20 and inflating FY2026 GAAP R&amp;D; FY2026 G&amp;A also carries $108.7M of office-exit impairment with no prior-year analogue. Q2 FY2027 free cash flow margin is seasonally low — Snowflake bills disproportionately in the January quarter, which alone produced $765.1M of free cash flow. Net revenue retention is restated across filings: FY2024 was originally reported at 131% and later restated to 133%.</w:t>
      </w:r>
    </w:p>
    <w:p>
      <w:pPr>
        <w:pStyle w:val="Heading2"/>
        <w:spacing w:after="180" w:before="180"/>
      </w:pPr>
      <w:r>
        <w:rPr>
          <w:rFonts w:ascii="Arial" w:cs="Arial" w:eastAsia="Arial" w:hAnsi="Arial"/>
          <w:b/>
          <w:bCs/>
          <w:color w:val="1F3864"/>
          <w:sz w:val="28"/>
          <w:szCs w:val="28"/>
        </w:rPr>
        <w:t xml:space="preserve">Cash conversion</w:t>
      </w:r>
    </w:p>
    <w:p>
      <w:pPr>
        <w:spacing w:after="140" w:line="276"/>
      </w:pPr>
      <w:r>
        <w:rPr>
          <w:rFonts w:ascii="Arial" w:cs="Arial" w:eastAsia="Arial" w:hAnsi="Arial"/>
          <w:sz w:val="22"/>
          <w:szCs w:val="22"/>
        </w:rPr>
        <w:t xml:space="preserve">Free cash flow was $1,120.3M in FY2026 against a $1,435.2M GAAP operating loss, a gap of about $2.5bn. Three things bridge it: $1,599.5M of non-cash stock compensation, a $755.2M increase in deferred revenue from billing ahead of consumption, and almost no capital expenditure — $101.6M, or 2.2% of revenue. Snowflake rents compute rather than owning it, so the capital intensity that would otherwise sit on the balance sheet sits instead in a purchase commitment. One cash cost is worth isolating: $672.9M left the business in FY2026 as payroll taxes on the net share settlement of equity awards, which Snowflake’s definition of free cash flow explicitly excludes because it is classified as a financing outflow.</w:t>
      </w:r>
    </w:p>
    <w:p>
      <w:pPr>
        <w:pStyle w:val="Heading2"/>
        <w:spacing w:after="180" w:before="180"/>
      </w:pPr>
      <w:r>
        <w:rPr>
          <w:rFonts w:ascii="Arial" w:cs="Arial" w:eastAsia="Arial" w:hAnsi="Arial"/>
          <w:b/>
          <w:bCs/>
          <w:color w:val="1F3864"/>
          <w:sz w:val="28"/>
          <w:szCs w:val="28"/>
        </w:rPr>
        <w:t xml:space="preserve">The commitment that fixes the cost base</w:t>
      </w:r>
    </w:p>
    <w:p>
      <w:pPr>
        <w:spacing w:after="140" w:line="276"/>
      </w:pPr>
      <w:r>
        <w:rPr>
          <w:rFonts w:ascii="Arial" w:cs="Arial" w:eastAsia="Arial" w:hAnsi="Arial"/>
          <w:sz w:val="22"/>
          <w:szCs w:val="22"/>
        </w:rPr>
        <w:t xml:space="preserve">In April 2026 Snowflake amended a cloud infrastructure agreement to commit to "</w:t>
      </w:r>
      <w:r>
        <w:rPr>
          <w:rFonts w:ascii="Arial" w:cs="Arial" w:eastAsia="Arial" w:hAnsi="Arial"/>
          <w:b/>
          <w:bCs/>
          <w:sz w:val="22"/>
          <w:szCs w:val="22"/>
        </w:rPr>
        <w:t xml:space="preserve">a cumulative minimum spend of $6.0 billion over a five-year contract term ending March 31, 2031, with minimum spend for each contract year ranging from $900.0 million to $1.25 billion</w:t>
      </w:r>
      <w:r>
        <w:rPr>
          <w:rFonts w:ascii="Arial" w:cs="Arial" w:eastAsia="Arial" w:hAnsi="Arial"/>
          <w:sz w:val="22"/>
          <w:szCs w:val="22"/>
        </w:rPr>
        <w:t xml:space="preserve">," and is "required to pay the difference" on any shortfall against either the cumulative total or any single contract year. That replaced the prior arrangement entirely; total non-cancelable purchase commitments across all agreements had been $2.68bn at 31 January 2026. A June 2026 amendment added incremental storage extending to May 2036, and a separate AI provider commitment adds $390M through November 2028. The mechanism matters: </w:t>
      </w:r>
      <w:r>
        <w:rPr>
          <w:rFonts w:ascii="Arial" w:cs="Arial" w:eastAsia="Arial" w:hAnsi="Arial"/>
          <w:b/>
          <w:bCs/>
          <w:sz w:val="22"/>
          <w:szCs w:val="22"/>
        </w:rPr>
        <w:t xml:space="preserve">the largest variable cost in the business now carries an annual floor of roughly $900M to $1.25bn against FY2026 cost of product revenue of $1,260.3M</w:t>
      </w:r>
      <w:r>
        <w:rPr>
          <w:rFonts w:ascii="Arial" w:cs="Arial" w:eastAsia="Arial" w:hAnsi="Arial"/>
          <w:sz w:val="22"/>
          <w:szCs w:val="22"/>
        </w:rPr>
        <w:t xml:space="preserve">. Consumption weakness would hit revenue while leaving that cost contractually fixed.</w:t>
      </w:r>
    </w:p>
    <w:p>
      <w:pPr>
        <w:pStyle w:val="Heading2"/>
        <w:spacing w:after="180" w:before="180"/>
      </w:pPr>
      <w:r>
        <w:rPr>
          <w:rFonts w:ascii="Arial" w:cs="Arial" w:eastAsia="Arial" w:hAnsi="Arial"/>
          <w:b/>
          <w:bCs/>
          <w:color w:val="1F3864"/>
          <w:sz w:val="28"/>
          <w:szCs w:val="28"/>
        </w:rPr>
        <w:t xml:space="preserve">Where the cash went, and what it says</w:t>
      </w:r>
    </w:p>
    <w:p>
      <w:pPr>
        <w:spacing w:after="140" w:line="276"/>
      </w:pPr>
      <w:r>
        <w:rPr>
          <w:rFonts w:ascii="Arial" w:cs="Arial" w:eastAsia="Arial" w:hAnsi="Arial"/>
          <w:sz w:val="22"/>
          <w:szCs w:val="22"/>
        </w:rPr>
        <w:t xml:space="preserve">Ranked, from FY2022 through the first half of FY2027: share repurchases $3,697.6M; payroll taxes on net share settlement of equity awards $2,055.2M; acquisitions in cash $1,101.9M, plus roughly $1,135M in stock consideration and about $500M of post-combination stock compensation; capital expenditure, capitalised software and purchased intangibles together $399.6M; dividends nil, and none anticipated. Management spends more managing the share count than on anything else, including acquisitions and the platform itself.</w:t>
      </w:r>
    </w:p>
    <w:p>
      <w:pPr>
        <w:spacing w:after="140" w:line="276"/>
      </w:pPr>
      <w:r>
        <w:rPr>
          <w:rFonts w:ascii="Arial" w:cs="Arial" w:eastAsia="Arial" w:hAnsi="Arial"/>
          <w:sz w:val="22"/>
          <w:szCs w:val="22"/>
        </w:rPr>
        <w:t xml:space="preserve">The result is that it has not worked. Shares outstanding rose from 312.4M at 31 January 2022 to 352.5M at 31 July 2026, up 12.8%, </w:t>
      </w:r>
      <w:r>
        <w:rPr>
          <w:rFonts w:ascii="Arial" w:cs="Arial" w:eastAsia="Arial" w:hAnsi="Arial"/>
          <w:b/>
          <w:bCs/>
          <w:sz w:val="22"/>
          <w:szCs w:val="22"/>
        </w:rPr>
        <w:t xml:space="preserve">despite 25.4 million shares retired for $3.70 billion</w:t>
      </w:r>
      <w:r>
        <w:rPr>
          <w:rFonts w:ascii="Arial" w:cs="Arial" w:eastAsia="Arial" w:hAnsi="Arial"/>
          <w:sz w:val="22"/>
          <w:szCs w:val="22"/>
        </w:rPr>
        <w:t xml:space="preserve">. The count fell in exactly one year, FY2025, and $399.6M of that year’s buying was a block bought at $112.50 from the purchasers of the convertible notes rather than open-market repurchase. Guided non-GAAP diluted shares were raised from 376M to 380M at the Q2 print, with Q3 guided to 382M. No shares were repurchased at all in Q2 FY2027, with $802.7M of authorisation remaining.</w:t>
      </w:r>
    </w:p>
    <w:p>
      <w:pPr>
        <w:spacing w:after="140" w:line="276"/>
      </w:pPr>
      <w:r>
        <w:rPr>
          <w:rFonts w:ascii="Arial" w:cs="Arial" w:eastAsia="Arial" w:hAnsi="Arial"/>
          <w:sz w:val="22"/>
          <w:szCs w:val="22"/>
        </w:rPr>
        <w:t xml:space="preserve">The only debt is $2.3bn of zero-coupon convertible notes issued in September 2024 — $1.15bn due October 2027 and $1.15bn due October 2029, at an initial conversion price of $157.50, with capped calls bought for $195.5M lifting the effective cap to $225.00. The sale-price conversion trigger has been met in four of the last five quarters, and the 2027 notes carried a fair value of $2,167.2M against $1,150.0M of principal at 31 July 2026. Snowflake classifies them as non-current because it may settle in shares, which is what they are: a share issuance in waiting unless settled in cash. No transaction has been announced but not closed — the Q2 FY2027 10-Q contains no subsequent-events note.</w:t>
      </w:r>
    </w:p>
    <w:p>
      <w:r>
        <w:br w:type="page"/>
      </w:r>
    </w:p>
    <w:p>
      <w:pPr>
        <w:pStyle w:val="Heading1"/>
        <w:spacing w:after="200" w:before="360"/>
      </w:pPr>
      <w:r>
        <w:rPr>
          <w:rFonts w:ascii="Arial" w:cs="Arial" w:eastAsia="Arial" w:hAnsi="Arial"/>
          <w:b/>
          <w:bCs/>
          <w:color w:val="1F3864"/>
          <w:sz w:val="32"/>
          <w:szCs w:val="32"/>
        </w:rPr>
        <w:t xml:space="preserve">6.  Cyclicality, Constraints and What to Monitor</w:t>
      </w:r>
    </w:p>
    <w:p>
      <w:pPr>
        <w:pStyle w:val="Heading2"/>
        <w:spacing w:after="180" w:before="180"/>
      </w:pPr>
      <w:r>
        <w:rPr>
          <w:rFonts w:ascii="Arial" w:cs="Arial" w:eastAsia="Arial" w:hAnsi="Arial"/>
          <w:b/>
          <w:bCs/>
          <w:color w:val="1F3864"/>
          <w:sz w:val="28"/>
          <w:szCs w:val="28"/>
        </w:rPr>
        <w:t xml:space="preserve">Exposure</w:t>
      </w:r>
    </w:p>
    <w:p>
      <w:pPr>
        <w:spacing w:after="140" w:line="276"/>
      </w:pPr>
      <w:r>
        <w:rPr>
          <w:rFonts w:ascii="Arial" w:cs="Arial" w:eastAsia="Arial" w:hAnsi="Arial"/>
          <w:sz w:val="22"/>
          <w:szCs w:val="22"/>
        </w:rPr>
        <w:t xml:space="preserve">Snowflake reports one segment and no revenue split by end market. What is disclosed points the same way: 75.2% of FY2026 revenue came from the United States, Forbes Global 2000 customers contributed about 41% of first-half FY2027 revenue, and customers above $1M of trailing product revenue are 68% of product revenue. The base is concentrated in large US enterprises, and enterprise data infrastructure spend is discretionary at the margin — it is a budget line that can be optimised without cancelling anything.</w:t>
      </w:r>
    </w:p>
    <w:p>
      <w:pPr>
        <w:pStyle w:val="Heading2"/>
        <w:spacing w:after="180" w:before="180"/>
      </w:pPr>
      <w:r>
        <w:rPr>
          <w:rFonts w:ascii="Arial" w:cs="Arial" w:eastAsia="Arial" w:hAnsi="Arial"/>
          <w:b/>
          <w:bCs/>
          <w:color w:val="1F3864"/>
          <w:sz w:val="28"/>
          <w:szCs w:val="28"/>
        </w:rPr>
        <w:t xml:space="preserve">What a downturn does, from the one cycle on record</w:t>
      </w:r>
    </w:p>
    <w:p>
      <w:pPr>
        <w:spacing w:after="140" w:line="276"/>
      </w:pPr>
      <w:r>
        <w:rPr>
          <w:rFonts w:ascii="Arial" w:cs="Arial" w:eastAsia="Arial" w:hAnsi="Arial"/>
          <w:sz w:val="22"/>
          <w:szCs w:val="22"/>
        </w:rPr>
        <w:t xml:space="preserve">Between FY2022 and FY2026 net revenue retention fell from 178% to 125% and product revenue growth fell from 106% to 29%. The mechanism is described by the company: customers "optimize consumption, rationalize budgets, and prioritize cash flow management, including by reducing storage through shorter data retention policies, shortening committed contract durations, and optimizing AI usage." The important detail is what happened next. Retention went 131%, 126%, 125%, 126% over four years and never recovered, and the reacceleration to 37% product revenue growth in Q2 FY2027 arrived with retention still flat. On the only cycle for which there is data, a consumption downturn did not pause the expansion rate — it reset it permanently.</w:t>
      </w:r>
    </w:p>
    <w:p>
      <w:pPr>
        <w:pStyle w:val="Heading2"/>
        <w:spacing w:after="180" w:before="180"/>
      </w:pPr>
      <w:r>
        <w:rPr>
          <w:rFonts w:ascii="Arial" w:cs="Arial" w:eastAsia="Arial" w:hAnsi="Arial"/>
          <w:b/>
          <w:bCs/>
          <w:color w:val="1F3864"/>
          <w:sz w:val="28"/>
          <w:szCs w:val="28"/>
        </w:rPr>
        <w:t xml:space="preserve">Where the business sits right now</w:t>
      </w:r>
    </w:p>
    <w:tbl>
      <w:tblPr>
        <w:tblW w:type="dxa" w:w="9360"/>
        <w:tblBorders>
          <w:top w:val="single" w:color="BFBFBF" w:sz="6"/>
          <w:left w:val="single" w:color="BFBFBF" w:sz="6"/>
          <w:bottom w:val="single" w:color="BFBFBF" w:sz="6"/>
          <w:right w:val="single" w:color="BFBFBF" w:sz="6"/>
          <w:insideH w:val="single" w:color="BFBFBF" w:sz="4"/>
          <w:insideV w:val="single" w:color="BFBFBF" w:sz="4"/>
        </w:tblBorders>
      </w:tblPr>
      <w:tblGrid>
        <w:gridCol w:w="2500"/>
        <w:gridCol w:w="2100"/>
        <w:gridCol w:w="2100"/>
        <w:gridCol w:w="2660"/>
      </w:tblGrid>
      <w:tr>
        <w:trPr>
          <w:tblHeader/>
        </w:trPr>
        <w:tc>
          <w:tcPr>
            <w:tcW w:type="dxa" w:w="250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Measure</w:t>
            </w:r>
          </w:p>
        </w:tc>
        <w:tc>
          <w:tcPr>
            <w:tcW w:type="dxa" w:w="210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Prior peak</w:t>
            </w:r>
          </w:p>
        </w:tc>
        <w:tc>
          <w:tcPr>
            <w:tcW w:type="dxa" w:w="210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Prior trough</w:t>
            </w:r>
          </w:p>
        </w:tc>
        <w:tc>
          <w:tcPr>
            <w:tcW w:type="dxa" w:w="266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Now (Q2 FY2027)</w:t>
            </w:r>
          </w:p>
        </w:tc>
      </w:tr>
      <w:tr>
        <w:tc>
          <w:tcPr>
            <w:tcW w:type="dxa" w:w="25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Product revenue growth</w:t>
            </w:r>
          </w:p>
        </w:tc>
        <w:tc>
          <w:tcPr>
            <w:tcW w:type="dxa" w:w="210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120% (FY2021)</w:t>
            </w:r>
          </w:p>
        </w:tc>
        <w:tc>
          <w:tcPr>
            <w:tcW w:type="dxa" w:w="210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29% (FY2026)</w:t>
            </w:r>
          </w:p>
        </w:tc>
        <w:tc>
          <w:tcPr>
            <w:tcW w:type="dxa" w:w="26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37% — off the trough, far below peak</w:t>
            </w:r>
          </w:p>
        </w:tc>
      </w:tr>
      <w:tr>
        <w:tc>
          <w:tcPr>
            <w:tcW w:type="dxa" w:w="25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Net revenue retention</w:t>
            </w:r>
          </w:p>
        </w:tc>
        <w:tc>
          <w:tcPr>
            <w:tcW w:type="dxa" w:w="210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178% (FY2022)</w:t>
            </w:r>
          </w:p>
        </w:tc>
        <w:tc>
          <w:tcPr>
            <w:tcW w:type="dxa" w:w="210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125% (FY2026)</w:t>
            </w:r>
          </w:p>
        </w:tc>
        <w:tc>
          <w:tcPr>
            <w:tcW w:type="dxa" w:w="266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126% — still at the trough</w:t>
            </w:r>
          </w:p>
        </w:tc>
      </w:tr>
      <w:tr>
        <w:tc>
          <w:tcPr>
            <w:tcW w:type="dxa" w:w="2500"/>
            <w:tcMar>
              <w:top w:type="dxa" w:w="80"/>
              <w:left w:type="dxa" w:w="120"/>
              <w:bottom w:type="dxa" w:w="80"/>
              <w:right w:type="dxa" w:w="120"/>
            </w:tcMar>
          </w:tcPr>
          <w:p>
            <w:pPr>
              <w:spacing w:after="30" w:before="30"/>
              <w:jc w:val="left"/>
            </w:pPr>
            <w:r>
              <w:rPr>
                <w:rFonts w:ascii="Arial" w:cs="Arial" w:eastAsia="Arial" w:hAnsi="Arial"/>
                <w:b/>
                <w:bCs/>
                <w:sz w:val="20"/>
                <w:szCs w:val="20"/>
              </w:rPr>
              <w:t xml:space="preserve">GAAP product gross margin</w:t>
            </w:r>
          </w:p>
        </w:tc>
        <w:tc>
          <w:tcPr>
            <w:tcW w:type="dxa" w:w="210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74% (FY2024)</w:t>
            </w:r>
          </w:p>
        </w:tc>
        <w:tc>
          <w:tcPr>
            <w:tcW w:type="dxa" w:w="210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70.9% (Q2 FY2027)</w:t>
            </w:r>
          </w:p>
        </w:tc>
        <w:tc>
          <w:tcPr>
            <w:tcW w:type="dxa" w:w="2660"/>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70.9% — at the trough, falling</w:t>
            </w:r>
          </w:p>
        </w:tc>
      </w:tr>
      <w:tr>
        <w:tc>
          <w:tcPr>
            <w:tcW w:type="dxa" w:w="2500"/>
            <w:shd w:fill="F5F7FA"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Non-GAAP operating margin</w:t>
            </w:r>
          </w:p>
        </w:tc>
        <w:tc>
          <w:tcPr>
            <w:tcW w:type="dxa" w:w="210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15.3% (Q2 FY2027)</w:t>
            </w:r>
          </w:p>
        </w:tc>
        <w:tc>
          <w:tcPr>
            <w:tcW w:type="dxa" w:w="210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deeply negative pre-FY2024</w:t>
            </w:r>
          </w:p>
        </w:tc>
        <w:tc>
          <w:tcPr>
            <w:tcW w:type="dxa" w:w="2660"/>
            <w:shd w:fill="F5F7FA" w:color="auto" w:val="clear"/>
            <w:tcMar>
              <w:top w:type="dxa" w:w="80"/>
              <w:left w:type="dxa" w:w="120"/>
              <w:bottom w:type="dxa" w:w="80"/>
              <w:right w:type="dxa" w:w="120"/>
            </w:tcMar>
          </w:tcPr>
          <w:p>
            <w:pPr>
              <w:spacing w:after="30" w:before="30"/>
              <w:jc w:val="left"/>
            </w:pPr>
            <w:r>
              <w:rPr>
                <w:rFonts w:ascii="Arial" w:cs="Arial" w:eastAsia="Arial" w:hAnsi="Arial"/>
                <w:b w:val="false"/>
                <w:bCs w:val="false"/>
                <w:sz w:val="20"/>
                <w:szCs w:val="20"/>
              </w:rPr>
              <w:t xml:space="preserve">15.3% — a record</w:t>
            </w:r>
          </w:p>
        </w:tc>
      </w:tr>
    </w:tbl>
    <w:p>
      <w:pPr>
        <w:spacing w:after="200" w:before="80"/>
      </w:pPr>
      <w:r>
        <w:rPr>
          <w:rFonts w:ascii="Arial" w:cs="Arial" w:eastAsia="Arial" w:hAnsi="Arial"/>
          <w:i/>
          <w:iCs/>
          <w:color w:val="595959"/>
          <w:sz w:val="18"/>
          <w:szCs w:val="18"/>
        </w:rPr>
        <w:t xml:space="preserve">The combination is the point: a record operating margin printed at trough retention and trough gross margin. The record comes from operating and stock-compensation leverage, not from improving unit economics. A record margin at a peak and a record margin at a trough are opposite facts.</w:t>
      </w:r>
    </w:p>
    <w:p>
      <w:pPr>
        <w:pStyle w:val="Heading2"/>
        <w:spacing w:after="180" w:before="180"/>
      </w:pPr>
      <w:r>
        <w:rPr>
          <w:rFonts w:ascii="Arial" w:cs="Arial" w:eastAsia="Arial" w:hAnsi="Arial"/>
          <w:b/>
          <w:bCs/>
          <w:color w:val="1F3864"/>
          <w:sz w:val="28"/>
          <w:szCs w:val="28"/>
        </w:rPr>
        <w:t xml:space="preserve">The downside mechanism this business would actually feel</w:t>
      </w:r>
    </w:p>
    <w:p>
      <w:pPr>
        <w:spacing w:after="140" w:line="276"/>
      </w:pPr>
      <w:r>
        <w:rPr>
          <w:rFonts w:ascii="Arial" w:cs="Arial" w:eastAsia="Arial" w:hAnsi="Arial"/>
          <w:sz w:val="22"/>
          <w:szCs w:val="22"/>
        </w:rPr>
        <w:t xml:space="preserve">The mechanism that matters is not a demand shock but a substrate shift. On disclosed figures the AI money is landing at the infrastructure layer rather than the platform layer: Oracle’s $638bn of remaining performance obligations is explicitly GPU capacity prepayment by its own description; Amazon states its AI and custom-silicon businesses each exceed a $25bn run-rate; Google Cloud grew 82% in the June 2026 quarter on "enterprise AI Solutions and enterprise AI Infrastructure." None of that flows through a data platform. If enterprise AI settles on GPU infrastructure plus model APIs, with the data platform relegated to a governed retrieval source, Snowflake captures a small share of AI spend while paying model providers for inference on terms it concedes are unfavourable. Its own AI disclosure — account counts, never revenue — is consistent with that reading, though it does not prove it.</w:t>
      </w:r>
    </w:p>
    <w:p>
      <w:pPr>
        <w:pStyle w:val="Heading2"/>
        <w:spacing w:after="180" w:before="180"/>
      </w:pPr>
      <w:r>
        <w:rPr>
          <w:rFonts w:ascii="Arial" w:cs="Arial" w:eastAsia="Arial" w:hAnsi="Arial"/>
          <w:b/>
          <w:bCs/>
          <w:color w:val="1F3864"/>
          <w:sz w:val="28"/>
          <w:szCs w:val="28"/>
        </w:rPr>
        <w:t xml:space="preserve">Durable versus borrowed</w:t>
      </w:r>
    </w:p>
    <w:tbl>
      <w:tblPr>
        <w:tblW w:type="dxa" w:w="9360"/>
        <w:tblBorders>
          <w:top w:val="single" w:color="BFBFBF" w:sz="6"/>
          <w:left w:val="single" w:color="BFBFBF" w:sz="6"/>
          <w:bottom w:val="single" w:color="BFBFBF" w:sz="6"/>
          <w:right w:val="single" w:color="BFBFBF" w:sz="6"/>
          <w:insideH w:val="single" w:color="BFBFBF" w:sz="4"/>
          <w:insideV w:val="single" w:color="BFBFBF" w:sz="4"/>
        </w:tblBorders>
      </w:tblPr>
      <w:tblGrid>
        <w:gridCol w:w="4660"/>
        <w:gridCol w:w="4700"/>
      </w:tblGrid>
      <w:tr>
        <w:trPr>
          <w:tblHeader/>
        </w:trPr>
        <w:tc>
          <w:tcPr>
            <w:tcW w:type="dxa" w:w="466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Durable — survives ten years</w:t>
            </w:r>
          </w:p>
        </w:tc>
        <w:tc>
          <w:tcPr>
            <w:tcW w:type="dxa" w:w="470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Borrowed — currently helping</w:t>
            </w:r>
          </w:p>
        </w:tc>
      </w:tr>
      <w:tr>
        <w:tc>
          <w:tcPr>
            <w:tcW w:type="dxa" w:w="4660"/>
            <w:tcMar>
              <w:top w:type="dxa" w:w="80"/>
              <w:left w:type="dxa" w:w="120"/>
              <w:bottom w:type="dxa" w:w="80"/>
              <w:right w:type="dxa" w:w="120"/>
            </w:tcMar>
          </w:tcPr>
          <w:p>
            <w:pPr>
              <w:spacing w:after="30" w:before="30"/>
              <w:jc w:val="left"/>
            </w:pPr>
            <w:r>
              <w:rPr>
                <w:rFonts w:ascii="Arial" w:cs="Arial" w:eastAsia="Arial" w:hAnsi="Arial"/>
                <w:sz w:val="20"/>
                <w:szCs w:val="20"/>
              </w:rPr>
              <w:t xml:space="preserve">829 Forbes Global 2000 customers and 828 above $1M trailing product revenue: a distribution asset built at a negative operating margin</w:t>
            </w:r>
          </w:p>
        </w:tc>
        <w:tc>
          <w:tcPr>
            <w:tcW w:type="dxa" w:w="4700"/>
            <w:tcMar>
              <w:top w:type="dxa" w:w="80"/>
              <w:left w:type="dxa" w:w="120"/>
              <w:bottom w:type="dxa" w:w="80"/>
              <w:right w:type="dxa" w:w="120"/>
            </w:tcMar>
          </w:tcPr>
          <w:p>
            <w:pPr>
              <w:spacing w:after="30" w:before="30"/>
              <w:jc w:val="left"/>
            </w:pPr>
            <w:r>
              <w:rPr>
                <w:rFonts w:ascii="Arial" w:cs="Arial" w:eastAsia="Arial" w:hAnsi="Arial"/>
                <w:sz w:val="20"/>
                <w:szCs w:val="20"/>
              </w:rPr>
              <w:t xml:space="preserve">$90.9M of the first-half FY2027 G&amp;A improvement is a lapping office-exit impairment, now essentially exhausted</w:t>
            </w:r>
          </w:p>
        </w:tc>
      </w:tr>
      <w:tr>
        <w:tc>
          <w:tcPr>
            <w:tcW w:type="dxa" w:w="466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FedRAMP High and DoW Impact Level 4/5 accreditation across 53 regional deployments</w:t>
            </w:r>
          </w:p>
        </w:tc>
        <w:tc>
          <w:tcPr>
            <w:tcW w:type="dxa" w:w="470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Interest income, down 19% in the first half as the cash balance falls and yields ease</w:t>
            </w:r>
          </w:p>
        </w:tc>
      </w:tr>
      <w:tr>
        <w:tc>
          <w:tcPr>
            <w:tcW w:type="dxa" w:w="4660"/>
            <w:tcMar>
              <w:top w:type="dxa" w:w="80"/>
              <w:left w:type="dxa" w:w="120"/>
              <w:bottom w:type="dxa" w:w="80"/>
              <w:right w:type="dxa" w:w="120"/>
            </w:tcMar>
          </w:tcPr>
          <w:p>
            <w:pPr>
              <w:spacing w:after="30" w:before="30"/>
              <w:jc w:val="left"/>
            </w:pPr>
            <w:r>
              <w:rPr>
                <w:rFonts w:ascii="Arial" w:cs="Arial" w:eastAsia="Arial" w:hAnsi="Arial"/>
                <w:sz w:val="20"/>
                <w:szCs w:val="20"/>
              </w:rPr>
              <w:t xml:space="preserve">97% of revenue from existing customers under capacity contracts, billed a year in advance</w:t>
            </w:r>
          </w:p>
        </w:tc>
        <w:tc>
          <w:tcPr>
            <w:tcW w:type="dxa" w:w="4700"/>
            <w:tcMar>
              <w:top w:type="dxa" w:w="80"/>
              <w:left w:type="dxa" w:w="120"/>
              <w:bottom w:type="dxa" w:w="80"/>
              <w:right w:type="dxa" w:w="120"/>
            </w:tcMar>
          </w:tcPr>
          <w:p>
            <w:pPr>
              <w:spacing w:after="30" w:before="30"/>
              <w:jc w:val="left"/>
            </w:pPr>
            <w:r>
              <w:rPr>
                <w:rFonts w:ascii="Arial" w:cs="Arial" w:eastAsia="Arial" w:hAnsi="Arial"/>
                <w:sz w:val="20"/>
                <w:szCs w:val="20"/>
              </w:rPr>
              <w:t xml:space="preserve">Roughly $624M of goodwill and intangibles added in the two quarters of reported acceleration, with no organic split disclosed</w:t>
            </w:r>
          </w:p>
        </w:tc>
      </w:tr>
      <w:tr>
        <w:tc>
          <w:tcPr>
            <w:tcW w:type="dxa" w:w="466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Infrastructure pricing negotiated from scale — gross margin went 46.5% in FY2019 to 72% in FY2026</w:t>
            </w:r>
          </w:p>
        </w:tc>
        <w:tc>
          <w:tcPr>
            <w:tcW w:type="dxa" w:w="470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Stock-compensation leverage, which requires revenue growth to keep outrunning SBC dollars</w:t>
            </w:r>
          </w:p>
        </w:tc>
      </w:tr>
      <w:tr>
        <w:tc>
          <w:tcPr>
            <w:tcW w:type="dxa" w:w="4660"/>
            <w:tcMar>
              <w:top w:type="dxa" w:w="80"/>
              <w:left w:type="dxa" w:w="120"/>
              <w:bottom w:type="dxa" w:w="80"/>
              <w:right w:type="dxa" w:w="120"/>
            </w:tcMar>
          </w:tcPr>
          <w:p>
            <w:pPr>
              <w:spacing w:after="30" w:before="30"/>
              <w:jc w:val="left"/>
            </w:pPr>
            <w:r>
              <w:rPr>
                <w:rFonts w:ascii="Arial" w:cs="Arial" w:eastAsia="Arial" w:hAnsi="Arial"/>
                <w:sz w:val="20"/>
                <w:szCs w:val="20"/>
              </w:rPr>
              <w:t xml:space="preserve">Governance and catalog surface, to the extent that layer holds against federation</w:t>
            </w:r>
          </w:p>
        </w:tc>
        <w:tc>
          <w:tcPr>
            <w:tcW w:type="dxa" w:w="4700"/>
            <w:tcMar>
              <w:top w:type="dxa" w:w="80"/>
              <w:left w:type="dxa" w:w="120"/>
              <w:bottom w:type="dxa" w:w="80"/>
              <w:right w:type="dxa" w:w="120"/>
            </w:tcMar>
          </w:tcPr>
          <w:p>
            <w:pPr>
              <w:spacing w:after="30" w:before="30"/>
              <w:jc w:val="left"/>
            </w:pPr>
            <w:r>
              <w:rPr>
                <w:rFonts w:ascii="Arial" w:cs="Arial" w:eastAsia="Arial" w:hAnsi="Arial"/>
                <w:sz w:val="20"/>
                <w:szCs w:val="20"/>
              </w:rPr>
              <w:t xml:space="preserve">Storage economics, which Snowflake now bills at zero on customer-managed Iceberg volumes</w:t>
            </w:r>
          </w:p>
        </w:tc>
      </w:tr>
    </w:tbl>
    <w:p>
      <w:pPr>
        <w:pStyle w:val="Heading2"/>
        <w:spacing w:after="180" w:before="180"/>
      </w:pPr>
      <w:r>
        <w:rPr>
          <w:rFonts w:ascii="Arial" w:cs="Arial" w:eastAsia="Arial" w:hAnsi="Arial"/>
          <w:b/>
          <w:bCs/>
          <w:color w:val="1F3864"/>
          <w:sz w:val="28"/>
          <w:szCs w:val="28"/>
        </w:rPr>
        <w:t xml:space="preserve">Leading indicators, and where each is published</w:t>
      </w:r>
    </w:p>
    <w:tbl>
      <w:tblPr>
        <w:tblW w:type="dxa" w:w="9360"/>
        <w:tblBorders>
          <w:top w:val="single" w:color="BFBFBF" w:sz="6"/>
          <w:left w:val="single" w:color="BFBFBF" w:sz="6"/>
          <w:bottom w:val="single" w:color="BFBFBF" w:sz="6"/>
          <w:right w:val="single" w:color="BFBFBF" w:sz="6"/>
          <w:insideH w:val="single" w:color="BFBFBF" w:sz="4"/>
          <w:insideV w:val="single" w:color="BFBFBF" w:sz="4"/>
        </w:tblBorders>
      </w:tblPr>
      <w:tblGrid>
        <w:gridCol w:w="4300"/>
        <w:gridCol w:w="5060"/>
      </w:tblGrid>
      <w:tr>
        <w:trPr>
          <w:tblHeader/>
        </w:trPr>
        <w:tc>
          <w:tcPr>
            <w:tcW w:type="dxa" w:w="430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Indicator</w:t>
            </w:r>
          </w:p>
        </w:tc>
        <w:tc>
          <w:tcPr>
            <w:tcW w:type="dxa" w:w="5060"/>
            <w:shd w:fill="E8EDF5" w:color="auto" w:val="clear"/>
            <w:tcMar>
              <w:top w:type="dxa" w:w="80"/>
              <w:left w:type="dxa" w:w="120"/>
              <w:bottom w:type="dxa" w:w="80"/>
              <w:right w:type="dxa" w:w="120"/>
            </w:tcMar>
          </w:tcPr>
          <w:p>
            <w:pPr>
              <w:spacing w:after="30" w:before="30"/>
              <w:jc w:val="left"/>
            </w:pPr>
            <w:r>
              <w:rPr>
                <w:rFonts w:ascii="Arial" w:cs="Arial" w:eastAsia="Arial" w:hAnsi="Arial"/>
                <w:b/>
                <w:bCs/>
                <w:sz w:val="20"/>
                <w:szCs w:val="20"/>
              </w:rPr>
              <w:t xml:space="preserve">Where published</w:t>
            </w:r>
          </w:p>
        </w:tc>
      </w:tr>
      <w:tr>
        <w:tc>
          <w:tcPr>
            <w:tcW w:type="dxa" w:w="4300"/>
            <w:tcMar>
              <w:top w:type="dxa" w:w="80"/>
              <w:left w:type="dxa" w:w="120"/>
              <w:bottom w:type="dxa" w:w="80"/>
              <w:right w:type="dxa" w:w="120"/>
            </w:tcMar>
          </w:tcPr>
          <w:p>
            <w:pPr>
              <w:spacing w:after="30" w:before="30"/>
              <w:jc w:val="left"/>
            </w:pPr>
            <w:r>
              <w:rPr>
                <w:rFonts w:ascii="Arial" w:cs="Arial" w:eastAsia="Arial" w:hAnsi="Arial"/>
                <w:sz w:val="20"/>
                <w:szCs w:val="20"/>
              </w:rPr>
              <w:t xml:space="preserve">Net revenue retention — whether expansion is returning or growth is new-logo dependent</w:t>
            </w:r>
          </w:p>
        </w:tc>
        <w:tc>
          <w:tcPr>
            <w:tcW w:type="dxa" w:w="5060"/>
            <w:tcMar>
              <w:top w:type="dxa" w:w="80"/>
              <w:left w:type="dxa" w:w="120"/>
              <w:bottom w:type="dxa" w:w="80"/>
              <w:right w:type="dxa" w:w="120"/>
            </w:tcMar>
          </w:tcPr>
          <w:p>
            <w:pPr>
              <w:spacing w:after="30" w:before="30"/>
              <w:jc w:val="left"/>
            </w:pPr>
            <w:r>
              <w:rPr>
                <w:rFonts w:ascii="Arial" w:cs="Arial" w:eastAsia="Arial" w:hAnsi="Arial"/>
                <w:sz w:val="20"/>
                <w:szCs w:val="20"/>
              </w:rPr>
              <w:t xml:space="preserve">Quarterly earnings release and 10-Q key business metrics</w:t>
            </w:r>
          </w:p>
        </w:tc>
      </w:tr>
      <w:tr>
        <w:tc>
          <w:tcPr>
            <w:tcW w:type="dxa" w:w="430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Non-GAAP product gross margin — the AI and GPU cost pass-through</w:t>
            </w:r>
          </w:p>
        </w:tc>
        <w:tc>
          <w:tcPr>
            <w:tcW w:type="dxa" w:w="506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Quarterly earnings release</w:t>
            </w:r>
          </w:p>
        </w:tc>
      </w:tr>
      <w:tr>
        <w:tc>
          <w:tcPr>
            <w:tcW w:type="dxa" w:w="4300"/>
            <w:tcMar>
              <w:top w:type="dxa" w:w="80"/>
              <w:left w:type="dxa" w:w="120"/>
              <w:bottom w:type="dxa" w:w="80"/>
              <w:right w:type="dxa" w:w="120"/>
            </w:tcMar>
          </w:tcPr>
          <w:p>
            <w:pPr>
              <w:spacing w:after="30" w:before="30"/>
              <w:jc w:val="left"/>
            </w:pPr>
            <w:r>
              <w:rPr>
                <w:rFonts w:ascii="Arial" w:cs="Arial" w:eastAsia="Arial" w:hAnsi="Arial"/>
                <w:sz w:val="20"/>
                <w:szCs w:val="20"/>
              </w:rPr>
              <w:t xml:space="preserve">RPO and the percentage expected within twelve months</w:t>
            </w:r>
          </w:p>
        </w:tc>
        <w:tc>
          <w:tcPr>
            <w:tcW w:type="dxa" w:w="5060"/>
            <w:tcMar>
              <w:top w:type="dxa" w:w="80"/>
              <w:left w:type="dxa" w:w="120"/>
              <w:bottom w:type="dxa" w:w="80"/>
              <w:right w:type="dxa" w:w="120"/>
            </w:tcMar>
          </w:tcPr>
          <w:p>
            <w:pPr>
              <w:spacing w:after="30" w:before="30"/>
              <w:jc w:val="left"/>
            </w:pPr>
            <w:r>
              <w:rPr>
                <w:rFonts w:ascii="Arial" w:cs="Arial" w:eastAsia="Arial" w:hAnsi="Arial"/>
                <w:sz w:val="20"/>
                <w:szCs w:val="20"/>
              </w:rPr>
              <w:t xml:space="preserve">10-Q revenue note</w:t>
            </w:r>
          </w:p>
        </w:tc>
      </w:tr>
      <w:tr>
        <w:tc>
          <w:tcPr>
            <w:tcW w:type="dxa" w:w="430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Weighted-average term of contracts newly entered into</w:t>
            </w:r>
          </w:p>
        </w:tc>
        <w:tc>
          <w:tcPr>
            <w:tcW w:type="dxa" w:w="506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10-Q management discussion and analysis</w:t>
            </w:r>
          </w:p>
        </w:tc>
      </w:tr>
      <w:tr>
        <w:tc>
          <w:tcPr>
            <w:tcW w:type="dxa" w:w="4300"/>
            <w:tcMar>
              <w:top w:type="dxa" w:w="80"/>
              <w:left w:type="dxa" w:w="120"/>
              <w:bottom w:type="dxa" w:w="80"/>
              <w:right w:type="dxa" w:w="120"/>
            </w:tcMar>
          </w:tcPr>
          <w:p>
            <w:pPr>
              <w:spacing w:after="30" w:before="30"/>
              <w:jc w:val="left"/>
            </w:pPr>
            <w:r>
              <w:rPr>
                <w:rFonts w:ascii="Arial" w:cs="Arial" w:eastAsia="Arial" w:hAnsi="Arial"/>
                <w:sz w:val="20"/>
                <w:szCs w:val="20"/>
              </w:rPr>
              <w:t xml:space="preserve">Third-party cloud infrastructure as a share of cost of product revenue</w:t>
            </w:r>
          </w:p>
        </w:tc>
        <w:tc>
          <w:tcPr>
            <w:tcW w:type="dxa" w:w="5060"/>
            <w:tcMar>
              <w:top w:type="dxa" w:w="80"/>
              <w:left w:type="dxa" w:w="120"/>
              <w:bottom w:type="dxa" w:w="80"/>
              <w:right w:type="dxa" w:w="120"/>
            </w:tcMar>
          </w:tcPr>
          <w:p>
            <w:pPr>
              <w:spacing w:after="30" w:before="30"/>
              <w:jc w:val="left"/>
            </w:pPr>
            <w:r>
              <w:rPr>
                <w:rFonts w:ascii="Arial" w:cs="Arial" w:eastAsia="Arial" w:hAnsi="Arial"/>
                <w:sz w:val="20"/>
                <w:szCs w:val="20"/>
              </w:rPr>
              <w:t xml:space="preserve">10-K segment note (annual only)</w:t>
            </w:r>
          </w:p>
        </w:tc>
      </w:tr>
      <w:tr>
        <w:tc>
          <w:tcPr>
            <w:tcW w:type="dxa" w:w="430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Shares outstanding and the guided diluted share count</w:t>
            </w:r>
          </w:p>
        </w:tc>
        <w:tc>
          <w:tcPr>
            <w:tcW w:type="dxa" w:w="506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10-Q cover page and quarterly guidance</w:t>
            </w:r>
          </w:p>
        </w:tc>
      </w:tr>
      <w:tr>
        <w:tc>
          <w:tcPr>
            <w:tcW w:type="dxa" w:w="4300"/>
            <w:tcMar>
              <w:top w:type="dxa" w:w="80"/>
              <w:left w:type="dxa" w:w="120"/>
              <w:bottom w:type="dxa" w:w="80"/>
              <w:right w:type="dxa" w:w="120"/>
            </w:tcMar>
          </w:tcPr>
          <w:p>
            <w:pPr>
              <w:spacing w:after="30" w:before="30"/>
              <w:jc w:val="left"/>
            </w:pPr>
            <w:r>
              <w:rPr>
                <w:rFonts w:ascii="Arial" w:cs="Arial" w:eastAsia="Arial" w:hAnsi="Arial"/>
                <w:sz w:val="20"/>
                <w:szCs w:val="20"/>
              </w:rPr>
              <w:t xml:space="preserve">AWS segment revenue and operating margin — the optimisation-cycle tell</w:t>
            </w:r>
          </w:p>
        </w:tc>
        <w:tc>
          <w:tcPr>
            <w:tcW w:type="dxa" w:w="5060"/>
            <w:tcMar>
              <w:top w:type="dxa" w:w="80"/>
              <w:left w:type="dxa" w:w="120"/>
              <w:bottom w:type="dxa" w:w="80"/>
              <w:right w:type="dxa" w:w="120"/>
            </w:tcMar>
          </w:tcPr>
          <w:p>
            <w:pPr>
              <w:spacing w:after="30" w:before="30"/>
              <w:jc w:val="left"/>
            </w:pPr>
            <w:r>
              <w:rPr>
                <w:rFonts w:ascii="Arial" w:cs="Arial" w:eastAsia="Arial" w:hAnsi="Arial"/>
                <w:sz w:val="20"/>
                <w:szCs w:val="20"/>
              </w:rPr>
              <w:t xml:space="preserve">Amazon Form 8-K, Exhibit 99.1</w:t>
            </w:r>
          </w:p>
        </w:tc>
      </w:tr>
      <w:tr>
        <w:tc>
          <w:tcPr>
            <w:tcW w:type="dxa" w:w="430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Databricks run-rate releases, and any S-1 filing</w:t>
            </w:r>
          </w:p>
        </w:tc>
        <w:tc>
          <w:tcPr>
            <w:tcW w:type="dxa" w:w="5060"/>
            <w:shd w:fill="F5F7FA" w:color="auto" w:val="clear"/>
            <w:tcMar>
              <w:top w:type="dxa" w:w="80"/>
              <w:left w:type="dxa" w:w="120"/>
              <w:bottom w:type="dxa" w:w="80"/>
              <w:right w:type="dxa" w:w="120"/>
            </w:tcMar>
          </w:tcPr>
          <w:p>
            <w:pPr>
              <w:spacing w:after="30" w:before="30"/>
              <w:jc w:val="left"/>
            </w:pPr>
            <w:r>
              <w:rPr>
                <w:rFonts w:ascii="Arial" w:cs="Arial" w:eastAsia="Arial" w:hAnsi="Arial"/>
                <w:sz w:val="20"/>
                <w:szCs w:val="20"/>
              </w:rPr>
              <w:t xml:space="preserve">databricks.com newsroom; SEC EDGAR</w:t>
            </w:r>
          </w:p>
        </w:tc>
      </w:tr>
    </w:tbl>
    <w:p>
      <w:r>
        <w:br w:type="page"/>
      </w:r>
    </w:p>
    <w:p>
      <w:pPr>
        <w:pStyle w:val="Heading1"/>
        <w:spacing w:after="200" w:before="360"/>
      </w:pPr>
      <w:r>
        <w:rPr>
          <w:rFonts w:ascii="Arial" w:cs="Arial" w:eastAsia="Arial" w:hAnsi="Arial"/>
          <w:b/>
          <w:bCs/>
          <w:color w:val="1F3864"/>
          <w:sz w:val="32"/>
          <w:szCs w:val="32"/>
        </w:rPr>
        <w:t xml:space="preserve">7.  Risks, Unknowns and Questions for Deeper Work</w:t>
      </w:r>
    </w:p>
    <w:p>
      <w:pPr>
        <w:pStyle w:val="Heading2"/>
        <w:spacing w:after="180" w:before="180"/>
      </w:pPr>
      <w:r>
        <w:rPr>
          <w:rFonts w:ascii="Arial" w:cs="Arial" w:eastAsia="Arial" w:hAnsi="Arial"/>
          <w:b/>
          <w:bCs/>
          <w:color w:val="1F3864"/>
          <w:sz w:val="28"/>
          <w:szCs w:val="28"/>
        </w:rPr>
        <w:t xml:space="preserve">Risks with a specific mechanism</w:t>
      </w:r>
    </w:p>
    <w:p>
      <w:pPr>
        <w:pStyle w:val="ListParagraph"/>
        <w:numPr>
          <w:ilvl w:val="0"/>
          <w:numId w:val="2"/>
        </w:numPr>
        <w:spacing w:after="100" w:line="276"/>
      </w:pPr>
      <w:r>
        <w:rPr>
          <w:rFonts w:ascii="Arial" w:cs="Arial" w:eastAsia="Arial" w:hAnsi="Arial"/>
          <w:b/>
          <w:bCs/>
          <w:sz w:val="22"/>
          <w:szCs w:val="22"/>
        </w:rPr>
        <w:t xml:space="preserve">The $6.0bn cloud floor converts the largest variable cost into a fixed one. </w:t>
      </w:r>
      <w:r>
        <w:rPr>
          <w:rFonts w:ascii="Arial" w:cs="Arial" w:eastAsia="Arial" w:hAnsi="Arial"/>
          <w:sz w:val="22"/>
          <w:szCs w:val="22"/>
        </w:rPr>
        <w:t xml:space="preserve">Snowflake must spend $900M to $1.25bn a year with one provider through March 2031 or pay the difference. FY2026 cost of product revenue in total was $1,260.3M, so the annual floor is close to the entire cost of goods. A period of consumption weakness would cut revenue while the cost base stayed contractually fixed, and the operating leverage that produced the record non-GAAP margin would run in reverse without any lag.</w:t>
      </w:r>
    </w:p>
    <w:p>
      <w:pPr>
        <w:pStyle w:val="ListParagraph"/>
        <w:numPr>
          <w:ilvl w:val="0"/>
          <w:numId w:val="2"/>
        </w:numPr>
        <w:spacing w:after="100" w:line="276"/>
      </w:pPr>
      <w:r>
        <w:rPr>
          <w:rFonts w:ascii="Arial" w:cs="Arial" w:eastAsia="Arial" w:hAnsi="Arial"/>
          <w:b/>
          <w:bCs/>
          <w:sz w:val="22"/>
          <w:szCs w:val="22"/>
        </w:rPr>
        <w:t xml:space="preserve">The supplier of the growth product sets its own price. </w:t>
      </w:r>
      <w:r>
        <w:rPr>
          <w:rFonts w:ascii="Arial" w:cs="Arial" w:eastAsia="Arial" w:hAnsi="Arial"/>
          <w:sz w:val="22"/>
          <w:szCs w:val="22"/>
        </w:rPr>
        <w:t xml:space="preserve">Snowflake concedes that frontier model providers "enjoy substantial leverage over the prices of their technology" and that it has accepted terms which "contribute to margin compression from our AI offerings." The faster AI consumption grows, the faster gross margin dilutes, and Snowflake cannot reprice its own credit card fast enough to offset an input it does not negotiate from strength.</w:t>
      </w:r>
    </w:p>
    <w:p>
      <w:pPr>
        <w:pStyle w:val="ListParagraph"/>
        <w:numPr>
          <w:ilvl w:val="0"/>
          <w:numId w:val="2"/>
        </w:numPr>
        <w:spacing w:after="100" w:line="276"/>
      </w:pPr>
      <w:r>
        <w:rPr>
          <w:rFonts w:ascii="Arial" w:cs="Arial" w:eastAsia="Arial" w:hAnsi="Arial"/>
          <w:b/>
          <w:bCs/>
          <w:sz w:val="22"/>
          <w:szCs w:val="22"/>
        </w:rPr>
        <w:t xml:space="preserve">Snowflake is dismantling its own storage lock-in deliberately. </w:t>
      </w:r>
      <w:r>
        <w:rPr>
          <w:rFonts w:ascii="Arial" w:cs="Arial" w:eastAsia="Arial" w:hAnsi="Arial"/>
          <w:sz w:val="22"/>
          <w:szCs w:val="22"/>
        </w:rPr>
        <w:t xml:space="preserve">Its documentation states it bills nothing for Iceberg tables on customer-managed external volumes; its risk factors state this means less lock-in and reduced switching costs. If a customer’s data sits in their own bucket in an open format readable by a competing engine, losing that customer no longer requires a migration project — only a procurement decision.</w:t>
      </w:r>
    </w:p>
    <w:p>
      <w:pPr>
        <w:pStyle w:val="ListParagraph"/>
        <w:numPr>
          <w:ilvl w:val="0"/>
          <w:numId w:val="2"/>
        </w:numPr>
        <w:spacing w:after="100" w:line="276"/>
      </w:pPr>
      <w:r>
        <w:rPr>
          <w:rFonts w:ascii="Arial" w:cs="Arial" w:eastAsia="Arial" w:hAnsi="Arial"/>
          <w:b/>
          <w:bCs/>
          <w:sz w:val="22"/>
          <w:szCs w:val="22"/>
        </w:rPr>
        <w:t xml:space="preserve">Equity dilution is structural rather than incidental. </w:t>
      </w:r>
      <w:r>
        <w:rPr>
          <w:rFonts w:ascii="Arial" w:cs="Arial" w:eastAsia="Arial" w:hAnsi="Arial"/>
          <w:sz w:val="22"/>
          <w:szCs w:val="22"/>
        </w:rPr>
        <w:t xml:space="preserve">The share count rose 12.8% since FY2022 against $3.70bn of repurchases; guided diluted shares were raised to 380M at the Q2 print; unrecognised stock compensation is about $3.8bn; and $2.3bn of convertibles sit deep in the money at a $157.50 conversion price. Any per-share thesis has to survive a share count that $3.7bn of buying has failed to hold flat.</w:t>
      </w:r>
    </w:p>
    <w:p>
      <w:pPr>
        <w:pStyle w:val="ListParagraph"/>
        <w:numPr>
          <w:ilvl w:val="0"/>
          <w:numId w:val="2"/>
        </w:numPr>
        <w:spacing w:after="100" w:line="276"/>
      </w:pPr>
      <w:r>
        <w:rPr>
          <w:rFonts w:ascii="Arial" w:cs="Arial" w:eastAsia="Arial" w:hAnsi="Arial"/>
          <w:b/>
          <w:bCs/>
          <w:sz w:val="22"/>
          <w:szCs w:val="22"/>
        </w:rPr>
        <w:t xml:space="preserve">Litigation from the 2024 customer-credential incident is now in discovery. </w:t>
      </w:r>
      <w:r>
        <w:rPr>
          <w:rFonts w:ascii="Arial" w:cs="Arial" w:eastAsia="Arial" w:hAnsi="Arial"/>
          <w:sz w:val="22"/>
          <w:szCs w:val="22"/>
        </w:rPr>
        <w:t xml:space="preserve">Motions to dismiss the consumer and financial-institution claims in the District of Montana MDL were denied in October 2025 and Snowflake answered in December 2025. A second securities class action filed in February 2026 has a motion to dismiss due in October 2026, and a copyright class action over training data is in discovery. Snowflake discloses no estimable loss for any of them; the only quantified contingency anywhere in the filings is an NLRB matter at zero to $25M.</w:t>
      </w:r>
    </w:p>
    <w:p>
      <w:pPr>
        <w:pStyle w:val="ListParagraph"/>
        <w:numPr>
          <w:ilvl w:val="0"/>
          <w:numId w:val="2"/>
        </w:numPr>
        <w:spacing w:after="100" w:line="276"/>
      </w:pPr>
      <w:r>
        <w:rPr>
          <w:rFonts w:ascii="Arial" w:cs="Arial" w:eastAsia="Arial" w:hAnsi="Arial"/>
          <w:b/>
          <w:bCs/>
          <w:sz w:val="22"/>
          <w:szCs w:val="22"/>
        </w:rPr>
        <w:t xml:space="preserve">A related-party acquisition closed at material scale. </w:t>
      </w:r>
      <w:r>
        <w:rPr>
          <w:rFonts w:ascii="Arial" w:cs="Arial" w:eastAsia="Arial" w:hAnsi="Arial"/>
          <w:sz w:val="22"/>
          <w:szCs w:val="22"/>
        </w:rPr>
        <w:t xml:space="preserve">Snowflake acquired Observe for $595.8M on 2 February 2026. Jeremy Burton, Observe’s chief executive, was a sitting Snowflake director and resigned three days before the close "in connection with" the acquisition; the board used a special committee of independent directors and the audit committee. The point to watch is the outcome rather than the process: the pro forma table implies Observe was running near $25M of annual revenue against $595.8M of consideration, and the deal landed in the first quarter of the reported acceleration.</w:t>
      </w:r>
    </w:p>
    <w:p>
      <w:pPr>
        <w:pStyle w:val="Heading2"/>
        <w:spacing w:after="180" w:before="180"/>
      </w:pPr>
      <w:r>
        <w:rPr>
          <w:rFonts w:ascii="Arial" w:cs="Arial" w:eastAsia="Arial" w:hAnsi="Arial"/>
          <w:b/>
          <w:bCs/>
          <w:color w:val="1F3864"/>
          <w:sz w:val="28"/>
          <w:szCs w:val="28"/>
        </w:rPr>
        <w:t xml:space="preserve">What the sources could not answer</w:t>
      </w:r>
    </w:p>
    <w:p>
      <w:pPr>
        <w:pStyle w:val="ListParagraph"/>
        <w:numPr>
          <w:ilvl w:val="0"/>
          <w:numId w:val="2"/>
        </w:numPr>
        <w:spacing w:after="100" w:line="276"/>
      </w:pPr>
      <w:r>
        <w:rPr>
          <w:rFonts w:ascii="Arial" w:cs="Arial" w:eastAsia="Arial" w:hAnsi="Arial"/>
          <w:b/>
          <w:bCs/>
          <w:sz w:val="22"/>
          <w:szCs w:val="22"/>
        </w:rPr>
        <w:t xml:space="preserve">Volume. </w:t>
      </w:r>
      <w:r>
        <w:rPr>
          <w:rFonts w:ascii="Arial" w:cs="Arial" w:eastAsia="Arial" w:hAnsi="Arial"/>
          <w:sz w:val="22"/>
          <w:szCs w:val="22"/>
        </w:rPr>
        <w:t xml:space="preserve">Credits consumed, or any unit measure of consumption, appears in no filing. The price card is public and the units are not, so growth cannot be decomposed into volume, price and mix by anyone outside the company.</w:t>
      </w:r>
    </w:p>
    <w:p>
      <w:pPr>
        <w:pStyle w:val="ListParagraph"/>
        <w:numPr>
          <w:ilvl w:val="0"/>
          <w:numId w:val="2"/>
        </w:numPr>
        <w:spacing w:after="100" w:line="276"/>
      </w:pPr>
      <w:r>
        <w:rPr>
          <w:rFonts w:ascii="Arial" w:cs="Arial" w:eastAsia="Arial" w:hAnsi="Arial"/>
          <w:b/>
          <w:bCs/>
          <w:sz w:val="22"/>
          <w:szCs w:val="22"/>
        </w:rPr>
        <w:t xml:space="preserve">Revenue by product. </w:t>
      </w:r>
      <w:r>
        <w:rPr>
          <w:rFonts w:ascii="Arial" w:cs="Arial" w:eastAsia="Arial" w:hAnsi="Arial"/>
          <w:sz w:val="22"/>
          <w:szCs w:val="22"/>
        </w:rPr>
        <w:t xml:space="preserve">One reportable segment, and no split for Cortex, Snowpark, Marketplace, Iceberg, Postgres or Observe. AI is disclosed as account counts only.</w:t>
      </w:r>
    </w:p>
    <w:p>
      <w:pPr>
        <w:pStyle w:val="ListParagraph"/>
        <w:numPr>
          <w:ilvl w:val="0"/>
          <w:numId w:val="2"/>
        </w:numPr>
        <w:spacing w:after="100" w:line="276"/>
      </w:pPr>
      <w:r>
        <w:rPr>
          <w:rFonts w:ascii="Arial" w:cs="Arial" w:eastAsia="Arial" w:hAnsi="Arial"/>
          <w:b/>
          <w:bCs/>
          <w:sz w:val="22"/>
          <w:szCs w:val="22"/>
        </w:rPr>
        <w:t xml:space="preserve">Organic versus acquired growth. </w:t>
      </w:r>
      <w:r>
        <w:rPr>
          <w:rFonts w:ascii="Arial" w:cs="Arial" w:eastAsia="Arial" w:hAnsi="Arial"/>
          <w:sz w:val="22"/>
          <w:szCs w:val="22"/>
        </w:rPr>
        <w:t xml:space="preserve">The word "organic" appears nowhere in the FY2026 10-K or either FY2027 10-Q, and every acquisition’s contribution is described as "not material."</w:t>
      </w:r>
    </w:p>
    <w:p>
      <w:pPr>
        <w:pStyle w:val="ListParagraph"/>
        <w:numPr>
          <w:ilvl w:val="0"/>
          <w:numId w:val="2"/>
        </w:numPr>
        <w:spacing w:after="100" w:line="276"/>
      </w:pPr>
      <w:r>
        <w:rPr>
          <w:rFonts w:ascii="Arial" w:cs="Arial" w:eastAsia="Arial" w:hAnsi="Arial"/>
          <w:b/>
          <w:bCs/>
          <w:sz w:val="22"/>
          <w:szCs w:val="22"/>
        </w:rPr>
        <w:t xml:space="preserve">Storage economics. </w:t>
      </w:r>
      <w:r>
        <w:rPr>
          <w:rFonts w:ascii="Arial" w:cs="Arial" w:eastAsia="Arial" w:hAnsi="Arial"/>
          <w:sz w:val="22"/>
          <w:szCs w:val="22"/>
        </w:rPr>
        <w:t xml:space="preserve">Storage as a share of product revenue is not disclosed, and neither is how much of it has already migrated to customer-managed Iceberg volumes that Snowflake bills at zero.</w:t>
      </w:r>
    </w:p>
    <w:p>
      <w:pPr>
        <w:pStyle w:val="ListParagraph"/>
        <w:numPr>
          <w:ilvl w:val="0"/>
          <w:numId w:val="2"/>
        </w:numPr>
        <w:spacing w:after="100" w:line="276"/>
      </w:pPr>
      <w:r>
        <w:rPr>
          <w:rFonts w:ascii="Arial" w:cs="Arial" w:eastAsia="Arial" w:hAnsi="Arial"/>
          <w:b/>
          <w:bCs/>
          <w:sz w:val="22"/>
          <w:szCs w:val="22"/>
        </w:rPr>
        <w:t xml:space="preserve">Counterparty of the $6.0bn commitment. </w:t>
      </w:r>
      <w:r>
        <w:rPr>
          <w:rFonts w:ascii="Arial" w:cs="Arial" w:eastAsia="Arial" w:hAnsi="Arial"/>
          <w:sz w:val="22"/>
          <w:szCs w:val="22"/>
        </w:rPr>
        <w:t xml:space="preserve">The footnote says "one of the Company’s third-party cloud infrastructure agreements" and never names the provider, so the concentration cannot be assessed.</w:t>
      </w:r>
    </w:p>
    <w:p>
      <w:pPr>
        <w:pStyle w:val="ListParagraph"/>
        <w:numPr>
          <w:ilvl w:val="0"/>
          <w:numId w:val="2"/>
        </w:numPr>
        <w:spacing w:after="100" w:line="276"/>
      </w:pPr>
      <w:r>
        <w:rPr>
          <w:rFonts w:ascii="Arial" w:cs="Arial" w:eastAsia="Arial" w:hAnsi="Arial"/>
          <w:b/>
          <w:bCs/>
          <w:sz w:val="22"/>
          <w:szCs w:val="22"/>
        </w:rPr>
        <w:t xml:space="preserve">Competitor economics. </w:t>
      </w:r>
      <w:r>
        <w:rPr>
          <w:rFonts w:ascii="Arial" w:cs="Arial" w:eastAsia="Arial" w:hAnsi="Arial"/>
          <w:sz w:val="22"/>
          <w:szCs w:val="22"/>
        </w:rPr>
        <w:t xml:space="preserve">Databricks has no S-1; no hyperscaler discloses BigQuery, Redshift or Fabric revenue. Market share is unverifiable from primary sources in either direction.</w:t>
      </w:r>
    </w:p>
    <w:p>
      <w:pPr>
        <w:pStyle w:val="ListParagraph"/>
        <w:numPr>
          <w:ilvl w:val="0"/>
          <w:numId w:val="2"/>
        </w:numPr>
        <w:spacing w:after="100" w:line="276"/>
      </w:pPr>
      <w:r>
        <w:rPr>
          <w:rFonts w:ascii="Arial" w:cs="Arial" w:eastAsia="Arial" w:hAnsi="Arial"/>
          <w:b/>
          <w:bCs/>
          <w:sz w:val="22"/>
          <w:szCs w:val="22"/>
        </w:rPr>
        <w:t xml:space="preserve">The CEO award’s cost. </w:t>
      </w:r>
      <w:r>
        <w:rPr>
          <w:rFonts w:ascii="Arial" w:cs="Arial" w:eastAsia="Arial" w:hAnsi="Arial"/>
          <w:sz w:val="22"/>
          <w:szCs w:val="22"/>
        </w:rPr>
        <w:t xml:space="preserve">The grant-date fair value of the 1,000,000-unit July 2026 performance award is not in the 8-K, so its effect on future stock compensation cannot be modelled.</w:t>
      </w:r>
    </w:p>
    <w:p>
      <w:pPr>
        <w:pStyle w:val="Heading2"/>
        <w:spacing w:after="180" w:before="180"/>
      </w:pPr>
      <w:r>
        <w:rPr>
          <w:rFonts w:ascii="Arial" w:cs="Arial" w:eastAsia="Arial" w:hAnsi="Arial"/>
          <w:b/>
          <w:bCs/>
          <w:color w:val="1F3864"/>
          <w:sz w:val="28"/>
          <w:szCs w:val="28"/>
        </w:rPr>
        <w:t xml:space="preserve">What would need resolving before forming a thesis</w:t>
      </w:r>
    </w:p>
    <w:p>
      <w:pPr>
        <w:pStyle w:val="ListParagraph"/>
        <w:numPr>
          <w:ilvl w:val="0"/>
          <w:numId w:val="2"/>
        </w:numPr>
        <w:spacing w:after="100" w:line="276"/>
      </w:pPr>
      <w:r>
        <w:rPr>
          <w:rFonts w:ascii="Arial" w:cs="Arial" w:eastAsia="Arial" w:hAnsi="Arial"/>
          <w:sz w:val="22"/>
          <w:szCs w:val="22"/>
        </w:rPr>
        <w:t xml:space="preserve">What produced eight points of growth acceleration when retention was flat, logo growth decelerated and RPO growth halved.</w:t>
      </w:r>
    </w:p>
    <w:p>
      <w:pPr>
        <w:pStyle w:val="ListParagraph"/>
        <w:numPr>
          <w:ilvl w:val="0"/>
          <w:numId w:val="2"/>
        </w:numPr>
        <w:spacing w:after="100" w:line="276"/>
      </w:pPr>
      <w:r>
        <w:rPr>
          <w:rFonts w:ascii="Arial" w:cs="Arial" w:eastAsia="Arial" w:hAnsi="Arial"/>
          <w:sz w:val="22"/>
          <w:szCs w:val="22"/>
        </w:rPr>
        <w:t xml:space="preserve">Whether AI consumption is incremental to core compute or substitutes for it — the distinction decides whether the gross-margin dilution buys growth or merely relocates it.</w:t>
      </w:r>
    </w:p>
    <w:p>
      <w:pPr>
        <w:pStyle w:val="ListParagraph"/>
        <w:numPr>
          <w:ilvl w:val="0"/>
          <w:numId w:val="2"/>
        </w:numPr>
        <w:spacing w:after="100" w:line="276"/>
      </w:pPr>
      <w:r>
        <w:rPr>
          <w:rFonts w:ascii="Arial" w:cs="Arial" w:eastAsia="Arial" w:hAnsi="Arial"/>
          <w:sz w:val="22"/>
          <w:szCs w:val="22"/>
        </w:rPr>
        <w:t xml:space="preserve">Whether non-GAAP operating margin can keep expanding once the office-impairment lapping is exhausted, gross margin is falling and new equity grants are landing.</w:t>
      </w:r>
    </w:p>
    <w:p>
      <w:pPr>
        <w:pStyle w:val="ListParagraph"/>
        <w:numPr>
          <w:ilvl w:val="0"/>
          <w:numId w:val="2"/>
        </w:numPr>
        <w:spacing w:after="100" w:line="276"/>
      </w:pPr>
      <w:r>
        <w:rPr>
          <w:rFonts w:ascii="Arial" w:cs="Arial" w:eastAsia="Arial" w:hAnsi="Arial"/>
          <w:sz w:val="22"/>
          <w:szCs w:val="22"/>
        </w:rPr>
        <w:t xml:space="preserve">What the $6.0bn commitment does to cash and margin if growth reverts to the FY2026 rate.</w:t>
      </w:r>
    </w:p>
    <w:p>
      <w:r>
        <w:br w:type="page"/>
      </w:r>
    </w:p>
    <w:p>
      <w:pPr>
        <w:pStyle w:val="Heading1"/>
        <w:spacing w:after="200" w:before="360"/>
      </w:pPr>
      <w:r>
        <w:rPr>
          <w:rFonts w:ascii="Arial" w:cs="Arial" w:eastAsia="Arial" w:hAnsi="Arial"/>
          <w:b/>
          <w:bCs/>
          <w:color w:val="1F3864"/>
          <w:sz w:val="32"/>
          <w:szCs w:val="32"/>
        </w:rPr>
        <w:t xml:space="preserve">8.  Investor Takeaways</w:t>
      </w:r>
    </w:p>
    <w:p>
      <w:pPr>
        <w:pStyle w:val="ListParagraph"/>
        <w:numPr>
          <w:ilvl w:val="0"/>
          <w:numId w:val="2"/>
        </w:numPr>
        <w:spacing w:after="100" w:line="276"/>
      </w:pPr>
      <w:r>
        <w:rPr>
          <w:rFonts w:ascii="Arial" w:cs="Arial" w:eastAsia="Arial" w:hAnsi="Arial"/>
          <w:b/>
          <w:bCs/>
          <w:sz w:val="22"/>
          <w:szCs w:val="22"/>
        </w:rPr>
        <w:t xml:space="preserve">What this business really is: </w:t>
      </w:r>
      <w:r>
        <w:rPr>
          <w:rFonts w:ascii="Arial" w:cs="Arial" w:eastAsia="Arial" w:hAnsi="Arial"/>
          <w:sz w:val="22"/>
          <w:szCs w:val="22"/>
        </w:rPr>
        <w:t xml:space="preserve">a metered reseller of hyperscaler compute, wrapped in governance and enterprise distribution, whose revenue is recognised only when customers choose to run workloads.</w:t>
      </w:r>
    </w:p>
    <w:p>
      <w:pPr>
        <w:pStyle w:val="ListParagraph"/>
        <w:numPr>
          <w:ilvl w:val="0"/>
          <w:numId w:val="2"/>
        </w:numPr>
        <w:spacing w:after="100" w:line="276"/>
      </w:pPr>
      <w:r>
        <w:rPr>
          <w:rFonts w:ascii="Arial" w:cs="Arial" w:eastAsia="Arial" w:hAnsi="Arial"/>
          <w:b/>
          <w:bCs/>
          <w:sz w:val="22"/>
          <w:szCs w:val="22"/>
        </w:rPr>
        <w:t xml:space="preserve">The core economic engine: </w:t>
      </w:r>
      <w:r>
        <w:rPr>
          <w:rFonts w:ascii="Arial" w:cs="Arial" w:eastAsia="Arial" w:hAnsi="Arial"/>
          <w:sz w:val="22"/>
          <w:szCs w:val="22"/>
        </w:rPr>
        <w:t xml:space="preserve">about 72 cents of gross profit per revenue dollar, roughly 20 cents of cost paid to a supplier that is also a competitor, converted to cash by billing a year ahead of consumption and paying a third of the cost base in stock.</w:t>
      </w:r>
    </w:p>
    <w:p>
      <w:pPr>
        <w:pStyle w:val="ListParagraph"/>
        <w:numPr>
          <w:ilvl w:val="0"/>
          <w:numId w:val="2"/>
        </w:numPr>
        <w:spacing w:after="100" w:line="276"/>
      </w:pPr>
      <w:r>
        <w:rPr>
          <w:rFonts w:ascii="Arial" w:cs="Arial" w:eastAsia="Arial" w:hAnsi="Arial"/>
          <w:b/>
          <w:bCs/>
          <w:sz w:val="22"/>
          <w:szCs w:val="22"/>
        </w:rPr>
        <w:t xml:space="preserve">The main growth lever: </w:t>
      </w:r>
      <w:r>
        <w:rPr>
          <w:rFonts w:ascii="Arial" w:cs="Arial" w:eastAsia="Arial" w:hAnsi="Arial"/>
          <w:sz w:val="22"/>
          <w:szCs w:val="22"/>
        </w:rPr>
        <w:t xml:space="preserve">consumption expansion inside 828 accounts above $1M, bought with a sales budget at 40% of revenue — not price, which the company cannot raise, and not geography, which has not shifted in years.</w:t>
      </w:r>
    </w:p>
    <w:p>
      <w:pPr>
        <w:pStyle w:val="ListParagraph"/>
        <w:numPr>
          <w:ilvl w:val="0"/>
          <w:numId w:val="2"/>
        </w:numPr>
        <w:spacing w:after="100" w:line="276"/>
      </w:pPr>
      <w:r>
        <w:rPr>
          <w:rFonts w:ascii="Arial" w:cs="Arial" w:eastAsia="Arial" w:hAnsi="Arial"/>
          <w:b/>
          <w:bCs/>
          <w:sz w:val="22"/>
          <w:szCs w:val="22"/>
        </w:rPr>
        <w:t xml:space="preserve">What could break the story: </w:t>
      </w:r>
      <w:r>
        <w:rPr>
          <w:rFonts w:ascii="Arial" w:cs="Arial" w:eastAsia="Arial" w:hAnsi="Arial"/>
          <w:sz w:val="22"/>
          <w:szCs w:val="22"/>
        </w:rPr>
        <w:t xml:space="preserve">enterprise AI settling on GPU infrastructure rather than the data platform, while a $6.0bn five-year cloud floor and frontier-model pricing leverage fix the cost base in place.</w:t>
      </w:r>
    </w:p>
    <w:p>
      <w:pPr>
        <w:pStyle w:val="ListParagraph"/>
        <w:numPr>
          <w:ilvl w:val="0"/>
          <w:numId w:val="2"/>
        </w:numPr>
        <w:spacing w:after="100" w:line="276"/>
      </w:pPr>
      <w:r>
        <w:rPr>
          <w:rFonts w:ascii="Arial" w:cs="Arial" w:eastAsia="Arial" w:hAnsi="Arial"/>
          <w:b/>
          <w:bCs/>
          <w:sz w:val="22"/>
          <w:szCs w:val="22"/>
        </w:rPr>
        <w:t xml:space="preserve">What to monitor: </w:t>
      </w:r>
      <w:r>
        <w:rPr>
          <w:rFonts w:ascii="Arial" w:cs="Arial" w:eastAsia="Arial" w:hAnsi="Arial"/>
          <w:sz w:val="22"/>
          <w:szCs w:val="22"/>
        </w:rPr>
        <w:t xml:space="preserve">net revenue retention, non-GAAP product gross margin, and the term of newly signed contracts — the three series that separate expansion from landing, and show whether growth is being bought at a falling margin.</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Business Overview  ·  Snowflake Inc.  ·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rPr>
        <w:rFonts w:ascii="Arial" w:cs="Arial" w:eastAsia="Arial" w:hAnsi="Arial"/>
        <w:sz w:val="22"/>
        <w:szCs w:val="22"/>
      </w:rPr>
    </w:lvl>
    <w:lvl w:ilvl="1" w15:tentative="1">
      <w:start w:val="1"/>
      <w:numFmt w:val="bullet"/>
      <w:lvlText w:val="–"/>
      <w:lvlJc w:val="left"/>
      <w:pPr>
        <w:ind w:left="720" w:hanging="260"/>
      </w:pPr>
      <w:rPr>
        <w:rFonts w:ascii="Arial" w:cs="Arial" w:eastAsia="Arial" w:hAnsi="Arial"/>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2026-09-07T04:54:49.473Z</dcterms:created>
  <dcterms:modified xsi:type="dcterms:W3CDTF">2026-09-07T04:54:49.487Z</dcterms:modified>
</cp:coreProperties>
</file>

<file path=docProps/custom.xml><?xml version="1.0" encoding="utf-8"?>
<Properties xmlns="http://schemas.openxmlformats.org/officeDocument/2006/custom-properties" xmlns:vt="http://schemas.openxmlformats.org/officeDocument/2006/docPropsVTypes"/>
</file>