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Arial" w:cs="Arial" w:eastAsia="Arial" w:hAnsi="Arial"/>
        </w:rPr>
        <w:t xml:space="preserve"/>
      </w:r>
    </w:p>
    <w:p>
      <w:pPr>
        <w:spacing w:after="120"/>
        <w:jc w:val="left"/>
      </w:pPr>
      <w:r>
        <w:rPr>
          <w:rFonts w:ascii="Arial" w:cs="Arial" w:eastAsia="Arial" w:hAnsi="Arial"/>
          <w:b/>
          <w:bCs/>
          <w:color w:val="1F3864"/>
          <w:sz w:val="56"/>
          <w:szCs w:val="56"/>
        </w:rPr>
        <w:t xml:space="preserve">Business Overview</w:t>
      </w:r>
    </w:p>
    <w:p>
      <w:pPr>
        <w:spacing w:after="320"/>
      </w:pPr>
      <w:r>
        <w:rPr>
          <w:rFonts w:ascii="Arial" w:cs="Arial" w:eastAsia="Arial" w:hAnsi="Arial"/>
          <w:b/>
          <w:bCs/>
          <w:color w:val="2B2B2B"/>
          <w:sz w:val="40"/>
          <w:szCs w:val="40"/>
        </w:rPr>
        <w:t xml:space="preserve">Unity Software Inc. (NYSE: U)</w:t>
      </w:r>
    </w:p>
    <w:p>
      <w:pPr>
        <w:pBdr>
          <w:top w:val="single" w:color="C75B39" w:sz="12"/>
        </w:pBdr>
        <w:spacing w:after="400"/>
      </w:pPr>
      <w:r>
        <w:rPr>
          <w:rFonts w:ascii="Arial" w:cs="Arial" w:eastAsia="Arial" w:hAnsi="Arial"/>
        </w:rPr>
        <w:t xml:space="preserve"/>
      </w:r>
    </w:p>
    <w:p>
      <w:pPr>
        <w:spacing w:after="140" w:line="276"/>
      </w:pPr>
      <w:r>
        <w:rPr>
          <w:rFonts w:ascii="Arial" w:cs="Arial" w:eastAsia="Arial" w:hAnsi="Arial"/>
          <w:color w:val="595959"/>
          <w:sz w:val="24"/>
          <w:szCs w:val="24"/>
        </w:rPr>
        <w:t xml:space="preserve">7 September 2026</w:t>
      </w:r>
    </w:p>
    <w:p>
      <w:pPr>
        <w:spacing w:after="140" w:line="276"/>
      </w:pPr>
      <w:r>
        <w:rPr>
          <w:rFonts w:ascii="Arial" w:cs="Arial" w:eastAsia="Arial" w:hAnsi="Arial"/>
          <w:color w:val="595959"/>
          <w:sz w:val="20"/>
          <w:szCs w:val="20"/>
        </w:rPr>
        <w:t xml:space="preserve">Evidence base: Unity's own SEC filings — Form 10-K for FY2020 through FY2025 (FY2025 filed 11 February 2026), Forms 10-Q through Q2 2026 (filed 6 August 2026), proxy statements and current reports — read from the research folder and treated as the source of truth for the company. Industry structure, competitor economics, platform-fee schedules and regulatory status come from independent sources named inline: GDC's State of the Game Industry, Sensor Tower, AppsFlyer, IAB/PwC, Apple and Google developer documentation, the European Commission, US federal courts, and AppLovin's own SEC filings.</w:t>
      </w:r>
    </w:p>
    <w:p>
      <w:pPr>
        <w:spacing w:after="140" w:line="276"/>
      </w:pPr>
      <w:r>
        <w:rPr>
          <w:rFonts w:ascii="Arial" w:cs="Arial" w:eastAsia="Arial" w:hAnsi="Arial"/>
          <w:color w:val="595959"/>
          <w:sz w:val="20"/>
          <w:szCs w:val="20"/>
        </w:rPr>
        <w:t xml:space="preserve">Unity's Q2 2026 results press release, its Q3 2026 guidance and its 2026 current reports were read from SEC EDGAR and investors.unity.com, because the research folder holds the 8-K cover pages without their exhibits and contains no earnings-call transcripts or investor presentations.</w:t>
      </w:r>
    </w:p>
    <w:p>
      <w:pPr>
        <w:spacing w:after="140" w:line="276"/>
      </w:pPr>
      <w:r>
        <w:rPr>
          <w:rFonts w:ascii="Arial" w:cs="Arial" w:eastAsia="Arial" w:hAnsi="Arial"/>
          <w:i/>
          <w:iCs/>
          <w:color w:val="595959"/>
          <w:sz w:val="20"/>
          <w:szCs w:val="20"/>
        </w:rPr>
        <w:t xml:space="preserve">This document explains how the business works and what drives its economics. It is not a valuation and not a recommendation.</w:t>
      </w:r>
    </w:p>
    <w:p>
      <w:pPr>
        <w:pStyle w:val="Heading1"/>
        <w:pageBreakBefore/>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100"/>
        <w:gridCol w:w="7260"/>
      </w:tblGrid>
      <w:tr>
        <w:trPr>
          <w:tblHeader w:val="false"/>
        </w:trPr>
        <w:tc>
          <w:tcPr>
            <w:tcW w:type="dxa" w:w="2100"/>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the business is</w:t>
            </w:r>
          </w:p>
        </w:tc>
        <w:tc>
          <w:tcPr>
            <w:tcW w:type="dxa" w:w="7260"/>
            <w:tcMar>
              <w:top w:type="dxa" w:w="80"/>
              <w:left w:type="dxa" w:w="120"/>
              <w:bottom w:type="dxa" w:w="80"/>
              <w:right w:type="dxa" w:w="120"/>
            </w:tcMar>
          </w:tcPr>
          <w:p>
            <w:pPr>
              <w:spacing w:after="0" w:line="264"/>
              <w:jc w:val="left"/>
            </w:pPr>
            <w:r>
              <w:rPr>
                <w:rFonts w:ascii="Arial" w:cs="Arial" w:eastAsia="Arial" w:hAnsi="Arial"/>
                <w:sz w:val="20"/>
                <w:szCs w:val="20"/>
              </w:rPr>
              <w:t xml:space="preserve">Two connected businesses in one company: a subscription game-development engine (Create Solutions) and a mobile advertising network (Grow Solutions) that monetises games — including the games the engine helps build.</w:t>
            </w:r>
          </w:p>
        </w:tc>
      </w:tr>
      <w:tr>
        <w:trPr>
          <w:tblHeader w:val="false"/>
        </w:trPr>
        <w:tc>
          <w:tcPr>
            <w:tcW w:type="dxa" w:w="2100"/>
            <w:tcMar>
              <w:top w:type="dxa" w:w="80"/>
              <w:left w:type="dxa" w:w="120"/>
              <w:bottom w:type="dxa" w:w="80"/>
              <w:right w:type="dxa" w:w="120"/>
            </w:tcMar>
          </w:tcPr>
          <w:p>
            <w:pPr>
              <w:spacing w:after="0" w:line="264"/>
              <w:jc w:val="left"/>
            </w:pPr>
            <w:r>
              <w:rPr>
                <w:rFonts w:ascii="Arial" w:cs="Arial" w:eastAsia="Arial" w:hAnsi="Arial"/>
                <w:b/>
                <w:bCs/>
                <w:sz w:val="20"/>
                <w:szCs w:val="20"/>
              </w:rPr>
              <w:t xml:space="preserve">Industry</w:t>
            </w:r>
          </w:p>
        </w:tc>
        <w:tc>
          <w:tcPr>
            <w:tcW w:type="dxa" w:w="7260"/>
            <w:tcMar>
              <w:top w:type="dxa" w:w="80"/>
              <w:left w:type="dxa" w:w="120"/>
              <w:bottom w:type="dxa" w:w="80"/>
              <w:right w:type="dxa" w:w="120"/>
            </w:tcMar>
          </w:tcPr>
          <w:p>
            <w:pPr>
              <w:spacing w:after="0" w:line="264"/>
              <w:jc w:val="left"/>
            </w:pPr>
            <w:r>
              <w:rPr>
                <w:rFonts w:ascii="Arial" w:cs="Arial" w:eastAsia="Arial" w:hAnsi="Arial"/>
                <w:sz w:val="20"/>
                <w:szCs w:val="20"/>
              </w:rPr>
              <w:t xml:space="preserve">Real-time 3D development tooling, and mobile app monetisation and user-acquisition advertising.</w:t>
            </w:r>
          </w:p>
        </w:tc>
      </w:tr>
      <w:tr>
        <w:trPr>
          <w:tblHeader w:val="false"/>
        </w:trPr>
        <w:tc>
          <w:tcPr>
            <w:tcW w:type="dxa" w:w="2100"/>
            <w:tcMar>
              <w:top w:type="dxa" w:w="80"/>
              <w:left w:type="dxa" w:w="120"/>
              <w:bottom w:type="dxa" w:w="80"/>
              <w:right w:type="dxa" w:w="120"/>
            </w:tcMar>
          </w:tcPr>
          <w:p>
            <w:pPr>
              <w:spacing w:after="0" w:line="264"/>
              <w:jc w:val="left"/>
            </w:pPr>
            <w:r>
              <w:rPr>
                <w:rFonts w:ascii="Arial" w:cs="Arial" w:eastAsia="Arial" w:hAnsi="Arial"/>
                <w:b/>
                <w:bCs/>
                <w:sz w:val="20"/>
                <w:szCs w:val="20"/>
              </w:rPr>
              <w:t xml:space="preserve">How it makes money</w:t>
            </w:r>
          </w:p>
        </w:tc>
        <w:tc>
          <w:tcPr>
            <w:tcW w:type="dxa" w:w="7260"/>
            <w:tcMar>
              <w:top w:type="dxa" w:w="80"/>
              <w:left w:type="dxa" w:w="120"/>
              <w:bottom w:type="dxa" w:w="80"/>
              <w:right w:type="dxa" w:w="120"/>
            </w:tcMar>
          </w:tcPr>
          <w:p>
            <w:pPr>
              <w:spacing w:after="0" w:line="264"/>
              <w:jc w:val="left"/>
            </w:pPr>
            <w:r>
              <w:rPr>
                <w:rFonts w:ascii="Arial" w:cs="Arial" w:eastAsia="Arial" w:hAnsi="Arial"/>
                <w:sz w:val="20"/>
                <w:szCs w:val="20"/>
              </w:rPr>
              <w:t xml:space="preserve">Create sells Editor seats on subscription, recognised over the contract term. Grow runs an ad auction and mediation platform and keeps a share of what advertisers pay; revenue is booked net of what publishers are paid (FY2025 10-K).</w:t>
            </w:r>
          </w:p>
        </w:tc>
      </w:tr>
      <w:tr>
        <w:trPr>
          <w:tblHeader w:val="false"/>
        </w:trPr>
        <w:tc>
          <w:tcPr>
            <w:tcW w:type="dxa" w:w="2100"/>
            <w:tcMar>
              <w:top w:type="dxa" w:w="80"/>
              <w:left w:type="dxa" w:w="120"/>
              <w:bottom w:type="dxa" w:w="80"/>
              <w:right w:type="dxa" w:w="120"/>
            </w:tcMar>
          </w:tcPr>
          <w:p>
            <w:pPr>
              <w:spacing w:after="0" w:line="264"/>
              <w:jc w:val="left"/>
            </w:pPr>
            <w:r>
              <w:rPr>
                <w:rFonts w:ascii="Arial" w:cs="Arial" w:eastAsia="Arial" w:hAnsi="Arial"/>
                <w:b/>
                <w:bCs/>
                <w:sz w:val="20"/>
                <w:szCs w:val="20"/>
              </w:rPr>
              <w:t xml:space="preserve">Unit of economics</w:t>
            </w:r>
          </w:p>
        </w:tc>
        <w:tc>
          <w:tcPr>
            <w:tcW w:type="dxa" w:w="7260"/>
            <w:tcMar>
              <w:top w:type="dxa" w:w="80"/>
              <w:left w:type="dxa" w:w="120"/>
              <w:bottom w:type="dxa" w:w="80"/>
              <w:right w:type="dxa" w:w="120"/>
            </w:tcMar>
          </w:tcPr>
          <w:p>
            <w:pPr>
              <w:spacing w:after="0" w:line="264"/>
              <w:jc w:val="left"/>
            </w:pPr>
            <w:r>
              <w:rPr>
                <w:rFonts w:ascii="Arial" w:cs="Arial" w:eastAsia="Arial" w:hAnsi="Arial"/>
                <w:sz w:val="20"/>
                <w:szCs w:val="20"/>
              </w:rPr>
              <w:t xml:space="preserve">Grow: one ad impression served. Create: one paid developer seat, $2,310 per year at Pro list price (unity.com, September 2026).</w:t>
            </w:r>
          </w:p>
        </w:tc>
      </w:tr>
      <w:tr>
        <w:trPr>
          <w:tblHeader w:val="false"/>
        </w:trPr>
        <w:tc>
          <w:tcPr>
            <w:tcW w:type="dxa" w:w="2100"/>
            <w:tcMar>
              <w:top w:type="dxa" w:w="80"/>
              <w:left w:type="dxa" w:w="120"/>
              <w:bottom w:type="dxa" w:w="80"/>
              <w:right w:type="dxa" w:w="120"/>
            </w:tcMar>
          </w:tcPr>
          <w:p>
            <w:pPr>
              <w:spacing w:after="0" w:line="264"/>
              <w:jc w:val="left"/>
            </w:pPr>
            <w:r>
              <w:rPr>
                <w:rFonts w:ascii="Arial" w:cs="Arial" w:eastAsia="Arial" w:hAnsi="Arial"/>
                <w:b/>
                <w:bCs/>
                <w:sz w:val="20"/>
                <w:szCs w:val="20"/>
              </w:rPr>
              <w:t xml:space="preserve">Revenue mix, FY2025</w:t>
            </w:r>
          </w:p>
        </w:tc>
        <w:tc>
          <w:tcPr>
            <w:tcW w:type="dxa" w:w="7260"/>
            <w:tcMar>
              <w:top w:type="dxa" w:w="80"/>
              <w:left w:type="dxa" w:w="120"/>
              <w:bottom w:type="dxa" w:w="80"/>
              <w:right w:type="dxa" w:w="120"/>
            </w:tcMar>
          </w:tcPr>
          <w:p>
            <w:pPr>
              <w:spacing w:after="0" w:line="264"/>
              <w:jc w:val="left"/>
            </w:pPr>
            <w:r>
              <w:rPr>
                <w:rFonts w:ascii="Arial" w:cs="Arial" w:eastAsia="Arial" w:hAnsi="Arial"/>
                <w:sz w:val="20"/>
                <w:szCs w:val="20"/>
              </w:rPr>
              <w:t xml:space="preserve">Grow $1,228m (66%); Create $621m (34%); total $1,850m (FY2025 10-K).</w:t>
            </w:r>
          </w:p>
        </w:tc>
      </w:tr>
      <w:tr>
        <w:trPr>
          <w:tblHeader w:val="false"/>
        </w:trPr>
        <w:tc>
          <w:tcPr>
            <w:tcW w:type="dxa" w:w="2100"/>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protects it</w:t>
            </w:r>
          </w:p>
        </w:tc>
        <w:tc>
          <w:tcPr>
            <w:tcW w:type="dxa" w:w="7260"/>
            <w:tcMar>
              <w:top w:type="dxa" w:w="80"/>
              <w:left w:type="dxa" w:w="120"/>
              <w:bottom w:type="dxa" w:w="80"/>
              <w:right w:type="dxa" w:w="120"/>
            </w:tcMar>
          </w:tcPr>
          <w:p>
            <w:pPr>
              <w:spacing w:after="0" w:line="264"/>
              <w:jc w:val="left"/>
            </w:pPr>
            <w:r>
              <w:rPr>
                <w:rFonts w:ascii="Arial" w:cs="Arial" w:eastAsia="Arial" w:hAnsi="Arial"/>
                <w:sz w:val="20"/>
                <w:szCs w:val="20"/>
              </w:rPr>
              <w:t xml:space="preserve">A game in production cannot change engine without being rebuilt, and each shipped Unity game is a candidate supply node for the ad network — supply Unity does not have to buy at market price.</w:t>
            </w:r>
          </w:p>
        </w:tc>
      </w:tr>
      <w:tr>
        <w:trPr>
          <w:tblHeader w:val="false"/>
        </w:trPr>
        <w:tc>
          <w:tcPr>
            <w:tcW w:type="dxa" w:w="2100"/>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drives earnings</w:t>
            </w:r>
          </w:p>
        </w:tc>
        <w:tc>
          <w:tcPr>
            <w:tcW w:type="dxa" w:w="7260"/>
            <w:tcMar>
              <w:top w:type="dxa" w:w="80"/>
              <w:left w:type="dxa" w:w="120"/>
              <w:bottom w:type="dxa" w:w="80"/>
              <w:right w:type="dxa" w:w="120"/>
            </w:tcMar>
          </w:tcPr>
          <w:p>
            <w:pPr>
              <w:spacing w:after="0" w:line="264"/>
              <w:jc w:val="left"/>
            </w:pPr>
            <w:r>
              <w:rPr>
                <w:rFonts w:ascii="Arial" w:cs="Arial" w:eastAsia="Arial" w:hAnsi="Arial"/>
                <w:sz w:val="20"/>
                <w:szCs w:val="20"/>
              </w:rPr>
              <w:t xml:space="preserve">The Unity Vector ad model; the run-off of deliberately exited businesses; and a cost base cut from 7,703 to 4,412 employees since 2022.</w:t>
            </w:r>
          </w:p>
        </w:tc>
      </w:tr>
      <w:tr>
        <w:trPr>
          <w:tblHeader w:val="false"/>
        </w:trPr>
        <w:tc>
          <w:tcPr>
            <w:tcW w:type="dxa" w:w="2100"/>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to watch</w:t>
            </w:r>
          </w:p>
        </w:tc>
        <w:tc>
          <w:tcPr>
            <w:tcW w:type="dxa" w:w="7260"/>
            <w:tcMar>
              <w:top w:type="dxa" w:w="80"/>
              <w:left w:type="dxa" w:w="120"/>
              <w:bottom w:type="dxa" w:w="80"/>
              <w:right w:type="dxa" w:w="120"/>
            </w:tcMar>
          </w:tcPr>
          <w:p>
            <w:pPr>
              <w:spacing w:after="0" w:line="264"/>
              <w:jc w:val="left"/>
            </w:pPr>
            <w:r>
              <w:rPr>
                <w:rFonts w:ascii="Arial" w:cs="Arial" w:eastAsia="Arial" w:hAnsi="Arial"/>
                <w:sz w:val="20"/>
                <w:szCs w:val="20"/>
              </w:rPr>
              <w:t xml:space="preserve">Create's growth rate (+5% in Q2 2026); the gap between strategic and total revenue; the $558m note maturing November 2026; the Unity China redemption right in August 2027.</w:t>
            </w:r>
          </w:p>
        </w:tc>
      </w:tr>
      <w:tr>
        <w:trPr>
          <w:tblHeader w:val="false"/>
        </w:trPr>
        <w:tc>
          <w:tcPr>
            <w:tcW w:type="dxa" w:w="2100"/>
            <w:tcMar>
              <w:top w:type="dxa" w:w="80"/>
              <w:left w:type="dxa" w:w="120"/>
              <w:bottom w:type="dxa" w:w="80"/>
              <w:right w:type="dxa" w:w="120"/>
            </w:tcMar>
          </w:tcPr>
          <w:p>
            <w:pPr>
              <w:spacing w:after="0" w:line="264"/>
              <w:jc w:val="left"/>
            </w:pPr>
            <w:r>
              <w:rPr>
                <w:rFonts w:ascii="Arial" w:cs="Arial" w:eastAsia="Arial" w:hAnsi="Arial"/>
                <w:b/>
                <w:bCs/>
                <w:sz w:val="20"/>
                <w:szCs w:val="20"/>
              </w:rPr>
              <w:t xml:space="preserve">Cycle exposure</w:t>
            </w:r>
          </w:p>
        </w:tc>
        <w:tc>
          <w:tcPr>
            <w:tcW w:type="dxa" w:w="7260"/>
            <w:tcMar>
              <w:top w:type="dxa" w:w="80"/>
              <w:left w:type="dxa" w:w="120"/>
              <w:bottom w:type="dxa" w:w="80"/>
              <w:right w:type="dxa" w:w="120"/>
            </w:tcMar>
          </w:tcPr>
          <w:p>
            <w:pPr>
              <w:spacing w:after="0" w:line="264"/>
              <w:jc w:val="left"/>
            </w:pPr>
            <w:r>
              <w:rPr>
                <w:rFonts w:ascii="Arial" w:cs="Arial" w:eastAsia="Arial" w:hAnsi="Arial"/>
                <w:sz w:val="20"/>
                <w:szCs w:val="20"/>
              </w:rPr>
              <w:t xml:space="preserve">Medium to high. Both advertiser budgets and game-content spending are cyclical, and Unity has no contractual minimums in Grow.</w:t>
            </w:r>
          </w:p>
        </w:tc>
      </w:tr>
    </w:tbl>
    <w:p>
      <w:pPr>
        <w:spacing w:after="120" w:line="276"/>
      </w:pPr>
      <w:r>
        <w:rPr>
          <w:rFonts w:ascii="Arial" w:cs="Arial" w:eastAsia="Arial" w:hAnsi="Arial"/>
          <w:sz w:val="22"/>
          <w:szCs w:val="22"/>
        </w:rPr>
        <w:t xml:space="preserve"/>
      </w:r>
    </w:p>
    <w:p>
      <w:pPr>
        <w:spacing w:after="140" w:line="276"/>
      </w:pPr>
      <w:r>
        <w:rPr>
          <w:rFonts w:ascii="Arial" w:cs="Arial" w:eastAsia="Arial" w:hAnsi="Arial"/>
          <w:i/>
          <w:iCs/>
          <w:color w:val="595959"/>
          <w:sz w:val="20"/>
          <w:szCs w:val="20"/>
        </w:rPr>
        <w:t xml:space="preserve">The rest of this document explains each of these, and tests the company's account of itself against outside evidence.</w:t>
      </w:r>
    </w:p>
    <w:p>
      <w:pPr>
        <w:pStyle w:val="Heading1"/>
        <w:pageBreakBefore/>
        <w:spacing w:after="200" w:before="360"/>
      </w:pP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Unity sells the answer to three sequential problems a game developer has. First, building a game that runs on phones, PCs, consoles and headsets without writing it several times. Second, finding players once it is built. Third, making money from those players. The first problem is solved by Create Solutions, the second and third by Grow Solutions, and the company's whole strategic argument is that owning both is worth more than owning either.</w:t>
      </w:r>
    </w:p>
    <w:p>
      <w:pPr>
        <w:pStyle w:val="Heading2"/>
        <w:spacing w:after="180" w:before="180"/>
      </w:pPr>
      <w:r>
        <w:rPr>
          <w:rFonts w:ascii="Arial" w:cs="Arial" w:eastAsia="Arial" w:hAnsi="Arial"/>
          <w:b/>
          <w:bCs/>
          <w:color w:val="1F3864"/>
          <w:sz w:val="28"/>
          <w:szCs w:val="28"/>
        </w:rPr>
        <w:t xml:space="preserve">Create Solutions: seats, sold by subscription</w:t>
      </w:r>
    </w:p>
    <w:p>
      <w:pPr>
        <w:spacing w:after="140" w:line="276"/>
      </w:pPr>
      <w:r>
        <w:rPr>
          <w:rFonts w:ascii="Arial" w:cs="Arial" w:eastAsia="Arial" w:hAnsi="Arial"/>
          <w:sz w:val="22"/>
          <w:szCs w:val="22"/>
        </w:rPr>
        <w:t xml:space="preserve">Create Solutions is the Unity Editor and the runtime that ships inside the finished game, plus enterprise support, cloud services and a narrowed professional-services practice (FY2025 10-K). It is sold as a per-seat subscription. The free Personal tier is available only to developers with less than $200,000 of revenue or funds raised in the prior twelve months; above that, Pro is mandatory at $2,310 per seat per year, and businesses above $25m of revenue must be on Enterprise at negotiated pricing (unity.com, September 2026).</w:t>
      </w:r>
    </w:p>
    <w:p>
      <w:pPr>
        <w:spacing w:after="140" w:line="276"/>
      </w:pPr>
      <w:r>
        <w:rPr>
          <w:rFonts w:ascii="Arial" w:cs="Arial" w:eastAsia="Arial" w:hAnsi="Arial"/>
          <w:sz w:val="22"/>
          <w:szCs w:val="22"/>
        </w:rPr>
        <w:t xml:space="preserve">Revenue is recognised over the contract term rather than at delivery, because Unity concluded the software and its updates are so interdependent that they form a single performance obligation (FY2025 10-K). Create generated $621.4m in FY2025 against $614.0m in FY2024, and $494m of contracted revenue on terms over one year had not yet been recognised at 31 December 2025, of which Unity expects $225m — 46% — within twelve months. That backlog is the most contractual, most predictable revenue Unity has, and it is a third of the company.</w:t>
      </w:r>
    </w:p>
    <w:p>
      <w:pPr>
        <w:pStyle w:val="Heading2"/>
        <w:spacing w:after="180" w:before="180"/>
      </w:pPr>
      <w:r>
        <w:rPr>
          <w:rFonts w:ascii="Arial" w:cs="Arial" w:eastAsia="Arial" w:hAnsi="Arial"/>
          <w:b/>
          <w:bCs/>
          <w:color w:val="1F3864"/>
          <w:sz w:val="28"/>
          <w:szCs w:val="28"/>
        </w:rPr>
        <w:t xml:space="preserve">Grow Solutions: impressions, sold at auction</w:t>
      </w:r>
    </w:p>
    <w:p>
      <w:pPr>
        <w:spacing w:after="140" w:line="276"/>
      </w:pPr>
      <w:r>
        <w:rPr>
          <w:rFonts w:ascii="Arial" w:cs="Arial" w:eastAsia="Arial" w:hAnsi="Arial"/>
          <w:sz w:val="22"/>
          <w:szCs w:val="22"/>
        </w:rPr>
        <w:t xml:space="preserve">Grow Solutions is a mediation platform, two ad networks and an offerwall (FY2025 10-K). Trace one unit through it. An advertiser — usually another game studio — bids to acquire a player; Unity's auction picks a winning bid and serves the impression inside a publisher's app; the publisher earns the payout; Unity keeps the difference. The accounting follows the economics: in Unity's words, "our revenue represents the amount we retain from the transaction we are facilitating through our auction and mediation platform" (FY2025 10-K). Reported Grow revenue is therefore already net, which is why a $1.2bn revenue line sits on top of a far larger flow of advertiser money that Unity never reports.</w:t>
      </w:r>
    </w:p>
    <w:p>
      <w:pPr>
        <w:spacing w:after="140" w:line="276"/>
      </w:pPr>
      <w:r>
        <w:rPr>
          <w:rFonts w:ascii="Arial" w:cs="Arial" w:eastAsia="Arial" w:hAnsi="Arial"/>
          <w:sz w:val="22"/>
          <w:szCs w:val="22"/>
        </w:rPr>
        <w:t xml:space="preserve">Unity does not disclose either the gross flow or its take rate, so the unit price has to be approximated. Against the company's own claim of roughly 68 billion monthly impressions across its two networks for the twelve months to December 2024 (unity.com), FY2024 Grow revenue of $1,199m implies about $1.47 of retained revenue per thousand impressions (inferred). The number is indicative only — the impressions claim is dated, unaudited and spans networks Unity has since shut — but it is the right order of magnitude, and it makes the mechanics concrete: this is a business of very small unit revenues at enormous volume, where a few percentage points of auction performance move everything.</w:t>
      </w:r>
    </w:p>
    <w:p>
      <w:pPr>
        <w:spacing w:after="140" w:line="276"/>
      </w:pPr>
      <w:r>
        <w:rPr>
          <w:rFonts w:ascii="Arial" w:cs="Arial" w:eastAsia="Arial" w:hAnsi="Arial"/>
          <w:sz w:val="22"/>
          <w:szCs w:val="22"/>
        </w:rPr>
        <w:t xml:space="preserve">Cash timing follows the same shape. Unity collects from advertisers and owes publishers, carrying $431.5m of publisher payables against $643.6m of receivables at 31 December 2025 (FY2025 10-K). The float is real but it does not fund the business; receivables are the larger number, so growth in Grow consumes working capital rather than releasing it.</w:t>
      </w:r>
    </w:p>
    <w:p>
      <w:pPr>
        <w:pStyle w:val="Heading2"/>
        <w:spacing w:after="180" w:before="180"/>
      </w:pPr>
      <w:r>
        <w:rPr>
          <w:rFonts w:ascii="Arial" w:cs="Arial" w:eastAsia="Arial" w:hAnsi="Arial"/>
          <w:b/>
          <w:bCs/>
          <w:color w:val="1F3864"/>
          <w:sz w:val="28"/>
          <w:szCs w:val="28"/>
        </w:rPr>
        <w:t xml:space="preserve">What has been cut, and why the economics differ</w:t>
      </w:r>
    </w:p>
    <w:p>
      <w:pPr>
        <w:spacing w:after="140" w:line="276"/>
      </w:pPr>
      <w:r>
        <w:rPr>
          <w:rFonts w:ascii="Arial" w:cs="Arial" w:eastAsia="Arial" w:hAnsi="Arial"/>
          <w:sz w:val="22"/>
          <w:szCs w:val="22"/>
        </w:rPr>
        <w:t xml:space="preserve">Since the fourth quarter of 2023 Unity has been shrinking to what it calls the Strategic Portfolio — the engine, its consumption services, and monetisation (FY2024 10-K). Professional services were narrowed to a few engagements, independent development of professional artistry tools stopped, and the multiplayer business was refocused. In 2026 the pruning reached the ad business itself: the ironSource Ads Network was sunset effective 30 April 2026, and the Supersonic game-publishing business was sold to Tripledot on 4 August 2026 for $40m in cash (Q2 2026 10-Q).</w:t>
      </w:r>
    </w:p>
    <w:p>
      <w:pPr>
        <w:spacing w:after="140" w:line="276"/>
      </w:pPr>
      <w:r>
        <w:rPr>
          <w:rFonts w:ascii="Arial" w:cs="Arial" w:eastAsia="Arial" w:hAnsi="Arial"/>
          <w:sz w:val="22"/>
          <w:szCs w:val="22"/>
        </w:rPr>
        <w:t xml:space="preserve">The exits are consistent in one respect: each removed revenue that carried people, hosting or publishing risk rather than software margin. Professional services and Weta's artistry tools were headcount-intensive; Supersonic's publishing model put Unity's own money at risk on other studios' games. What remains is a subscription and an auction, which is why gross margin rose from 66% in FY2023 to 74% in FY2025 while revenue fell and then flattened.</w:t>
      </w:r>
    </w:p>
    <w:p>
      <w:pPr>
        <w:pStyle w:val="Heading1"/>
        <w:pageBreakBefore/>
        <w:spacing w:after="200" w:before="360"/>
      </w:pPr>
      <w:r>
        <w:rPr>
          <w:rFonts w:ascii="Arial" w:cs="Arial" w:eastAsia="Arial" w:hAnsi="Arial"/>
          <w:b/>
          <w:bCs/>
          <w:color w:val="1F3864"/>
          <w:sz w:val="32"/>
          <w:szCs w:val="32"/>
        </w:rPr>
        <w:t xml:space="preserve">3. Industry, Competitive Position and Moat</w:t>
      </w:r>
    </w:p>
    <w:p>
      <w:pPr>
        <w:spacing w:after="140" w:line="276"/>
      </w:pPr>
      <w:r>
        <w:rPr>
          <w:rFonts w:ascii="Arial" w:cs="Arial" w:eastAsia="Arial" w:hAnsi="Arial"/>
          <w:sz w:val="22"/>
          <w:szCs w:val="22"/>
        </w:rPr>
        <w:t xml:space="preserve">Unity sits in two industries whose economics are not alike. Engines sell avoided engineering cost to customers who treat them as an expense line. Ad networks sell matching — the ability to predict which player is worth what to which advertiser — and are paid out of the advertiser's marketing budget. The second industry is where the money is, and Unity's position in it rests on assets built by the first.</w:t>
      </w:r>
    </w:p>
    <w:p>
      <w:pPr>
        <w:pStyle w:val="Heading2"/>
        <w:spacing w:after="180" w:before="180"/>
      </w:pPr>
      <w:r>
        <w:rPr>
          <w:rFonts w:ascii="Arial" w:cs="Arial" w:eastAsia="Arial" w:hAnsi="Arial"/>
          <w:b/>
          <w:bCs/>
          <w:color w:val="1F3864"/>
          <w:sz w:val="28"/>
          <w:szCs w:val="28"/>
        </w:rPr>
        <w:t xml:space="preserve">Where the profit pool sits</w:t>
      </w:r>
    </w:p>
    <w:p>
      <w:pPr>
        <w:spacing w:after="140" w:line="276"/>
      </w:pPr>
      <w:r>
        <w:rPr>
          <w:rFonts w:ascii="Arial" w:cs="Arial" w:eastAsia="Arial" w:hAnsi="Arial"/>
          <w:sz w:val="22"/>
          <w:szCs w:val="22"/>
        </w:rPr>
        <w:t xml:space="preserve">The largest reliably collected toll in mobile is the app store's. Apple charges 30%, or 15% under its Small Business Program for developers with up to $1m of proceeds (Apple developer documentation). Google Play is moving in the other direction: from 30 June 2026 in the US, EEA and UK its schedule falls to roughly 20% plus a 5% billing fee on new-install transactions, with 10% plus 5% on subscriptions and the first $1m (Google Play service fees). In-app advertising, by contrast, is untaxed by the store — and on Apple's own commissioned estimate it reached $151bn in 2025 against $149bn of App Store digital-goods billings (Apple/Analysis Group, June 2026). Advertising is now the larger pool, and it is the pool Unity's ad network fishes in.</w:t>
      </w:r>
    </w:p>
    <w:p>
      <w:pPr>
        <w:spacing w:after="140" w:line="276"/>
      </w:pPr>
      <w:r>
        <w:rPr>
          <w:rFonts w:ascii="Arial" w:cs="Arial" w:eastAsia="Arial" w:hAnsi="Arial"/>
          <w:sz w:val="22"/>
          <w:szCs w:val="22"/>
        </w:rPr>
        <w:t xml:space="preserve">Ad-network economics at scale are extraordinary and set the benchmark Unity is measured against. AppLovin reported FY2025 revenue of $5,481m, up 70%, with cost of revenue of $665m, net income of $3,334m and an adjusted EBITDA margin of 82% (AppLovin FY2025 results). Unity's adjusted gross margin of 83% in FY2025 is in the same territory; its adjusted EBITDA margin of 22% is not. The gap is not unit economics — it is the size of the cost base sitting on top of them, which is the single most important thing to understand about this company's profitability.</w:t>
      </w:r>
    </w:p>
    <w:p>
      <w:pPr>
        <w:pStyle w:val="Heading2"/>
        <w:spacing w:after="180" w:before="180"/>
      </w:pPr>
      <w:r>
        <w:rPr>
          <w:rFonts w:ascii="Arial" w:cs="Arial" w:eastAsia="Arial" w:hAnsi="Arial"/>
          <w:b/>
          <w:bCs/>
          <w:color w:val="1F3864"/>
          <w:sz w:val="28"/>
          <w:szCs w:val="28"/>
        </w:rPr>
        <w:t xml:space="preserve">Market structure, and which barriers actually bind</w:t>
      </w:r>
    </w:p>
    <w:p>
      <w:pPr>
        <w:spacing w:after="140" w:line="276"/>
      </w:pPr>
      <w:r>
        <w:rPr>
          <w:rFonts w:ascii="Arial" w:cs="Arial" w:eastAsia="Arial" w:hAnsi="Arial"/>
          <w:sz w:val="22"/>
          <w:szCs w:val="22"/>
        </w:rPr>
        <w:t xml:space="preserve">Engine share is genuinely contested. GDC's 2026 survey of more than 2,300 industry professionals puts Unreal at 42% as primary engine, Unity at 30% and Godot at 11% (GDC, State of the Game Industry 2026). That survey is self-selected and skews to PC and console production, so it is not a measurement of Unity's mobile position — Unity claims 70% of the top 1,000 mobile games, but that claim is the company's own and carries a January 2025 footnote (unity.com). No independent, methodology-stated measurement of engine share across mobile titles was found.</w:t>
      </w:r>
    </w:p>
    <w:p>
      <w:pPr>
        <w:spacing w:after="140" w:line="276"/>
      </w:pPr>
      <w:r>
        <w:rPr>
          <w:rFonts w:ascii="Arial" w:cs="Arial" w:eastAsia="Arial" w:hAnsi="Arial"/>
          <w:sz w:val="22"/>
          <w:szCs w:val="22"/>
        </w:rPr>
        <w:t xml:space="preserve">Two barriers bind in practice. The first is mid-project switching cost: an engine choice is effectively locked once production starts, which is why revenue erosion from a share shift arrives years after the share shift itself. The second is data scale in ad targeting, and the evidence for it is unusually clean. When Apple's App Tracking Transparency removed deterministic identifiers, trackable US traffic fell from 73% to 18%, average impression prices fell 23%, and trackable impressions began commanding a 51% price premium (Skiera et al., hosted by the FTC). Privacy shocks did not shrink the ad pool; they concentrated it toward whoever had the most first-party conversion signal.</w:t>
      </w:r>
    </w:p>
    <w:p>
      <w:pPr>
        <w:spacing w:after="140" w:line="276"/>
      </w:pPr>
      <w:r>
        <w:rPr>
          <w:rFonts w:ascii="Arial" w:cs="Arial" w:eastAsia="Arial" w:hAnsi="Arial"/>
          <w:sz w:val="22"/>
          <w:szCs w:val="22"/>
        </w:rPr>
        <w:t xml:space="preserve">Two barriers are weaker than they sound. The asset store and plugin ecosystem are cited as lock-in, but Godot has reached 11% primary-engine share with neither royalties nor a comparable ecosystem. And Unity's own installed base is not self-renewing: the GDC series shows primary-engine share moving materially within a few years.</w:t>
      </w:r>
    </w:p>
    <w:p>
      <w:pPr>
        <w:pStyle w:val="Heading2"/>
        <w:spacing w:after="180" w:before="180"/>
      </w:pPr>
      <w:r>
        <w:rPr>
          <w:rFonts w:ascii="Arial" w:cs="Arial" w:eastAsia="Arial" w:hAnsi="Arial"/>
          <w:b/>
          <w:bCs/>
          <w:color w:val="1F3864"/>
          <w:sz w:val="28"/>
          <w:szCs w:val="28"/>
        </w:rPr>
        <w:t xml:space="preserve">What Unity has that a well-funded competitor could not simply buy</w:t>
      </w:r>
    </w:p>
    <w:p>
      <w:pPr>
        <w:spacing w:after="140" w:line="276"/>
      </w:pPr>
      <w:r>
        <w:rPr>
          <w:rFonts w:ascii="Arial" w:cs="Arial" w:eastAsia="Arial" w:hAnsi="Arial"/>
          <w:sz w:val="22"/>
          <w:szCs w:val="22"/>
        </w:rPr>
        <w:t xml:space="preserve">Unity is the only company that owns both a major game engine and a large mobile ad network. The strategic value of that pairing is supply: every shipped Unity game is a candidate integration point for the ad SDK, so Unity can source impressions it does not have to buy in the open market, and it sees conversion outcomes inside games it also tooled. AppLovin, Moloco, Meta and Google can outbid Unity for demand, but none of them owns the authoring layer where games begin.</w:t>
      </w:r>
    </w:p>
    <w:p>
      <w:pPr>
        <w:spacing w:after="140" w:line="276"/>
      </w:pPr>
      <w:r>
        <w:rPr>
          <w:rFonts w:ascii="Arial" w:cs="Arial" w:eastAsia="Arial" w:hAnsi="Arial"/>
          <w:sz w:val="22"/>
          <w:szCs w:val="22"/>
        </w:rPr>
        <w:t xml:space="preserve">The honest test is whether that pairing shows up in the numbers, and so far it shows up only on one side. In Q2 2026, strategic Grow revenue grew 63% year over year while strategic Create revenue grew 5% (Q2 2026 press release). The ads business is winning on model quality — the Unity Vector machine-learning platform rolled out in the first quarter of 2025 — rather than on any bundled advantage flowing from the engine. The supply asset is real; the cross-sell has not yet been demonstrated in reported figures.</w:t>
      </w:r>
    </w:p>
    <w:p>
      <w:pPr>
        <w:spacing w:after="140" w:line="276"/>
      </w:pPr>
      <w:r>
        <w:rPr>
          <w:rFonts w:ascii="Arial" w:cs="Arial" w:eastAsia="Arial" w:hAnsi="Arial"/>
          <w:sz w:val="22"/>
          <w:szCs w:val="22"/>
        </w:rPr>
        <w:t xml:space="preserve">Unity names its own competitors: proprietary in-house engines, Cocos2d-x, Godot and Unreal in Create; Amazon, Meta, Google, Microsoft and Tencent, plus AppLovin, Voodoo, Moloco and Digital Turbine in Grow (FY2025 10-K). It also notes, correctly, that several of these are simultaneously partners and customers — AppLovin's own 10-K describes Unity the same way. The dependency runs deeper than rivalry: AppLovin discloses that a significant share of its revenue flows through the Apple App Store, Google Play and Meta, and Unity's does too.</w:t>
      </w:r>
    </w:p>
    <w:p>
      <w:pPr>
        <w:spacing w:after="140" w:line="276"/>
      </w:pPr>
      <w:r>
        <w:rPr>
          <w:rFonts w:ascii="Arial" w:cs="Arial" w:eastAsia="Arial" w:hAnsi="Arial"/>
          <w:sz w:val="22"/>
          <w:szCs w:val="22"/>
        </w:rPr>
        <w:t xml:space="preserve">The kind of company that wins in mobile ad matching is the one with the most first-party conversion signal at the lowest supply cost. Unity is structurally that kind of company. It has only recently built the modelling to exploit it, and the evidence that it now can is one year old.</w:t>
      </w:r>
    </w:p>
    <w:p>
      <w:pPr>
        <w:pStyle w:val="Heading1"/>
        <w:pageBreakBefore/>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Unity's reported growth and its underlying growth are two different numbers, and the difference is deliberate. In Q2 2026 total revenue rose 24% to $546.5m, while the revenue Unity calls strategic rose 38% to $486.4m and the non-strategic remainder fell 33% to $60.1m (Q2 2026 press release). The 14-point gap is the ironSource network being switched off and Supersonic being sold. Both numbers are true; only one of them describes the business Unity will still own in 2027.</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660"/>
        <w:gridCol w:w="1900"/>
        <w:gridCol w:w="1900"/>
        <w:gridCol w:w="1900"/>
      </w:tblGrid>
      <w:tr>
        <w:trPr>
          <w:tblHeader/>
        </w:trPr>
        <w:tc>
          <w:tcPr>
            <w:tcW w:type="dxa" w:w="366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Q2 2026 revenue decomposition</w:t>
            </w:r>
          </w:p>
        </w:tc>
        <w:tc>
          <w:tcPr>
            <w:tcW w:type="dxa" w:w="190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Q2 2026</w:t>
            </w:r>
          </w:p>
        </w:tc>
        <w:tc>
          <w:tcPr>
            <w:tcW w:type="dxa" w:w="190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Q2 2025</w:t>
            </w:r>
          </w:p>
        </w:tc>
        <w:tc>
          <w:tcPr>
            <w:tcW w:type="dxa" w:w="190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Change</w:t>
            </w:r>
          </w:p>
        </w:tc>
      </w:tr>
      <w:tr>
        <w:trPr>
          <w:tblHeader w:val="false"/>
        </w:trPr>
        <w:tc>
          <w:tcPr>
            <w:tcW w:type="dxa" w:w="3660"/>
            <w:tcMar>
              <w:top w:type="dxa" w:w="80"/>
              <w:left w:type="dxa" w:w="120"/>
              <w:bottom w:type="dxa" w:w="80"/>
              <w:right w:type="dxa" w:w="120"/>
            </w:tcMar>
          </w:tcPr>
          <w:p>
            <w:pPr>
              <w:spacing w:after="0" w:line="264"/>
              <w:jc w:val="left"/>
            </w:pPr>
            <w:r>
              <w:rPr>
                <w:rFonts w:ascii="Arial" w:cs="Arial" w:eastAsia="Arial" w:hAnsi="Arial"/>
                <w:sz w:val="20"/>
                <w:szCs w:val="20"/>
              </w:rPr>
              <w:t xml:space="preserve">Strategic Grow (Unity Ads Network)</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$329.0m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$201.3m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+63%</w:t>
            </w:r>
          </w:p>
        </w:tc>
      </w:tr>
      <w:tr>
        <w:trPr>
          <w:tblHeader w:val="false"/>
        </w:trPr>
        <w:tc>
          <w:tcPr>
            <w:tcW w:type="dxa" w:w="3660"/>
            <w:tcMar>
              <w:top w:type="dxa" w:w="80"/>
              <w:left w:type="dxa" w:w="120"/>
              <w:bottom w:type="dxa" w:w="80"/>
              <w:right w:type="dxa" w:w="120"/>
            </w:tcMar>
          </w:tcPr>
          <w:p>
            <w:pPr>
              <w:spacing w:after="0" w:line="264"/>
              <w:jc w:val="left"/>
            </w:pPr>
            <w:r>
              <w:rPr>
                <w:rFonts w:ascii="Arial" w:cs="Arial" w:eastAsia="Arial" w:hAnsi="Arial"/>
                <w:sz w:val="20"/>
                <w:szCs w:val="20"/>
              </w:rPr>
              <w:t xml:space="preserve">Strategic Create (engine subscriptions)</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$157.5m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$150.6m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+5%</w:t>
            </w:r>
          </w:p>
        </w:tc>
      </w:tr>
      <w:tr>
        <w:trPr>
          <w:tblHeader w:val="false"/>
        </w:trPr>
        <w:tc>
          <w:tcPr>
            <w:tcW w:type="dxa" w:w="3660"/>
            <w:tcMar>
              <w:top w:type="dxa" w:w="80"/>
              <w:left w:type="dxa" w:w="120"/>
              <w:bottom w:type="dxa" w:w="80"/>
              <w:right w:type="dxa" w:w="120"/>
            </w:tcMar>
          </w:tcPr>
          <w:p>
            <w:pPr>
              <w:spacing w:after="0" w:line="264"/>
              <w:jc w:val="left"/>
            </w:pPr>
            <w:r>
              <w:rPr>
                <w:rFonts w:ascii="Arial" w:cs="Arial" w:eastAsia="Arial" w:hAnsi="Arial"/>
                <w:b/>
                <w:bCs/>
                <w:sz w:val="20"/>
                <w:szCs w:val="20"/>
              </w:rPr>
              <w:t xml:space="preserve">Total strategic revenue</w:t>
            </w:r>
          </w:p>
        </w:tc>
        <w:tc>
          <w:tcPr>
            <w:tcW w:type="dxa" w:w="1900"/>
            <w:tcMar>
              <w:top w:type="dxa" w:w="80"/>
              <w:left w:type="dxa" w:w="120"/>
              <w:bottom w:type="dxa" w:w="80"/>
              <w:right w:type="dxa" w:w="120"/>
            </w:tcMar>
          </w:tcPr>
          <w:p>
            <w:pPr>
              <w:spacing w:after="0" w:line="264"/>
              <w:jc w:val="right"/>
            </w:pPr>
            <w:r>
              <w:rPr>
                <w:rFonts w:ascii="Arial" w:cs="Arial" w:eastAsia="Arial" w:hAnsi="Arial"/>
                <w:b/>
                <w:bCs/>
                <w:sz w:val="20"/>
                <w:szCs w:val="20"/>
              </w:rPr>
              <w:t xml:space="preserve">$486.4m</w:t>
            </w:r>
          </w:p>
        </w:tc>
        <w:tc>
          <w:tcPr>
            <w:tcW w:type="dxa" w:w="1900"/>
            <w:tcMar>
              <w:top w:type="dxa" w:w="80"/>
              <w:left w:type="dxa" w:w="120"/>
              <w:bottom w:type="dxa" w:w="80"/>
              <w:right w:type="dxa" w:w="120"/>
            </w:tcMar>
          </w:tcPr>
          <w:p>
            <w:pPr>
              <w:spacing w:after="0" w:line="264"/>
              <w:jc w:val="right"/>
            </w:pPr>
            <w:r>
              <w:rPr>
                <w:rFonts w:ascii="Arial" w:cs="Arial" w:eastAsia="Arial" w:hAnsi="Arial"/>
                <w:b/>
                <w:bCs/>
                <w:sz w:val="20"/>
                <w:szCs w:val="20"/>
              </w:rPr>
              <w:t xml:space="preserve">$351.9m</w:t>
            </w:r>
          </w:p>
        </w:tc>
        <w:tc>
          <w:tcPr>
            <w:tcW w:type="dxa" w:w="1900"/>
            <w:tcMar>
              <w:top w:type="dxa" w:w="80"/>
              <w:left w:type="dxa" w:w="120"/>
              <w:bottom w:type="dxa" w:w="80"/>
              <w:right w:type="dxa" w:w="120"/>
            </w:tcMar>
          </w:tcPr>
          <w:p>
            <w:pPr>
              <w:spacing w:after="0" w:line="264"/>
              <w:jc w:val="right"/>
            </w:pPr>
            <w:r>
              <w:rPr>
                <w:rFonts w:ascii="Arial" w:cs="Arial" w:eastAsia="Arial" w:hAnsi="Arial"/>
                <w:b/>
                <w:bCs/>
                <w:sz w:val="20"/>
                <w:szCs w:val="20"/>
              </w:rPr>
              <w:t xml:space="preserve">+38%</w:t>
            </w:r>
          </w:p>
        </w:tc>
      </w:tr>
      <w:tr>
        <w:trPr>
          <w:tblHeader w:val="false"/>
        </w:trPr>
        <w:tc>
          <w:tcPr>
            <w:tcW w:type="dxa" w:w="3660"/>
            <w:tcMar>
              <w:top w:type="dxa" w:w="80"/>
              <w:left w:type="dxa" w:w="120"/>
              <w:bottom w:type="dxa" w:w="80"/>
              <w:right w:type="dxa" w:w="120"/>
            </w:tcMar>
          </w:tcPr>
          <w:p>
            <w:pPr>
              <w:spacing w:after="0" w:line="264"/>
              <w:jc w:val="left"/>
            </w:pPr>
            <w:r>
              <w:rPr>
                <w:rFonts w:ascii="Arial" w:cs="Arial" w:eastAsia="Arial" w:hAnsi="Arial"/>
                <w:sz w:val="20"/>
                <w:szCs w:val="20"/>
              </w:rPr>
              <w:t xml:space="preserve">Non-strategic (ironSource network, Supersonic)</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$60.1m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$89.0m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(33)%</w:t>
            </w:r>
          </w:p>
        </w:tc>
      </w:tr>
      <w:tr>
        <w:trPr>
          <w:tblHeader w:val="false"/>
        </w:trPr>
        <w:tc>
          <w:tcPr>
            <w:tcW w:type="dxa" w:w="3660"/>
            <w:tcMar>
              <w:top w:type="dxa" w:w="80"/>
              <w:left w:type="dxa" w:w="120"/>
              <w:bottom w:type="dxa" w:w="80"/>
              <w:right w:type="dxa" w:w="120"/>
            </w:tcMar>
          </w:tcPr>
          <w:p>
            <w:pPr>
              <w:spacing w:after="0" w:line="264"/>
              <w:jc w:val="left"/>
            </w:pPr>
            <w:r>
              <w:rPr>
                <w:rFonts w:ascii="Arial" w:cs="Arial" w:eastAsia="Arial" w:hAnsi="Arial"/>
                <w:b/>
                <w:bCs/>
                <w:sz w:val="20"/>
                <w:szCs w:val="20"/>
              </w:rPr>
              <w:t xml:space="preserve">Total reported revenue</w:t>
            </w:r>
          </w:p>
        </w:tc>
        <w:tc>
          <w:tcPr>
            <w:tcW w:type="dxa" w:w="1900"/>
            <w:tcMar>
              <w:top w:type="dxa" w:w="80"/>
              <w:left w:type="dxa" w:w="120"/>
              <w:bottom w:type="dxa" w:w="80"/>
              <w:right w:type="dxa" w:w="120"/>
            </w:tcMar>
          </w:tcPr>
          <w:p>
            <w:pPr>
              <w:spacing w:after="0" w:line="264"/>
              <w:jc w:val="right"/>
            </w:pPr>
            <w:r>
              <w:rPr>
                <w:rFonts w:ascii="Arial" w:cs="Arial" w:eastAsia="Arial" w:hAnsi="Arial"/>
                <w:b/>
                <w:bCs/>
                <w:sz w:val="20"/>
                <w:szCs w:val="20"/>
              </w:rPr>
              <w:t xml:space="preserve">$546.5m</w:t>
            </w:r>
          </w:p>
        </w:tc>
        <w:tc>
          <w:tcPr>
            <w:tcW w:type="dxa" w:w="1900"/>
            <w:tcMar>
              <w:top w:type="dxa" w:w="80"/>
              <w:left w:type="dxa" w:w="120"/>
              <w:bottom w:type="dxa" w:w="80"/>
              <w:right w:type="dxa" w:w="120"/>
            </w:tcMar>
          </w:tcPr>
          <w:p>
            <w:pPr>
              <w:spacing w:after="0" w:line="264"/>
              <w:jc w:val="right"/>
            </w:pPr>
            <w:r>
              <w:rPr>
                <w:rFonts w:ascii="Arial" w:cs="Arial" w:eastAsia="Arial" w:hAnsi="Arial"/>
                <w:b/>
                <w:bCs/>
                <w:sz w:val="20"/>
                <w:szCs w:val="20"/>
              </w:rPr>
              <w:t xml:space="preserve">$440.9m</w:t>
            </w:r>
          </w:p>
        </w:tc>
        <w:tc>
          <w:tcPr>
            <w:tcW w:type="dxa" w:w="1900"/>
            <w:tcMar>
              <w:top w:type="dxa" w:w="80"/>
              <w:left w:type="dxa" w:w="120"/>
              <w:bottom w:type="dxa" w:w="80"/>
              <w:right w:type="dxa" w:w="120"/>
            </w:tcMar>
          </w:tcPr>
          <w:p>
            <w:pPr>
              <w:spacing w:after="0" w:line="264"/>
              <w:jc w:val="right"/>
            </w:pPr>
            <w:r>
              <w:rPr>
                <w:rFonts w:ascii="Arial" w:cs="Arial" w:eastAsia="Arial" w:hAnsi="Arial"/>
                <w:b/>
                <w:bCs/>
                <w:sz w:val="20"/>
                <w:szCs w:val="20"/>
              </w:rPr>
              <w:t xml:space="preserve">+24%</w:t>
            </w:r>
          </w:p>
        </w:tc>
      </w:tr>
    </w:tbl>
    <w:p>
      <w:pPr>
        <w:spacing w:after="200" w:line="276"/>
      </w:pPr>
      <w:r>
        <w:rPr>
          <w:rFonts w:ascii="Arial" w:cs="Arial" w:eastAsia="Arial" w:hAnsi="Arial"/>
          <w:color w:val="595959"/>
          <w:sz w:val="18"/>
          <w:szCs w:val="18"/>
        </w:rPr>
        <w:t xml:space="preserve">Source: Unity Q2 2026 results press release, 6 August 2026. The 10-Q for the same quarter reports the older Create/Grow Solutions cut, which ties to the same total but is not the same split.</w:t>
      </w:r>
    </w:p>
    <w:p>
      <w:pPr>
        <w:spacing w:after="140" w:line="276"/>
      </w:pPr>
      <w:r>
        <w:rPr>
          <w:rFonts w:ascii="Arial" w:cs="Arial" w:eastAsia="Arial" w:hAnsi="Arial"/>
          <w:sz w:val="22"/>
          <w:szCs w:val="22"/>
        </w:rPr>
        <w:t xml:space="preserve">Growth today is entirely organic. Unity has made no acquisition since ironSource closed in November 2022, and its only announced 2026 transaction is a binding commitment to buy $100m of AppsFlyer shares by the end of 2027 (Q2 2026 10-Q). That is a change of character worth stating plainly: the 2022–2023 revenue line was largely bought, and the 2026 revenue line is not.</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00" w:line="276"/>
      </w:pPr>
      <w:r>
        <w:rPr>
          <w:rFonts w:ascii="Arial" w:cs="Arial" w:eastAsia="Arial" w:hAnsi="Arial"/>
          <w:b/>
          <w:bCs/>
          <w:sz w:val="22"/>
          <w:szCs w:val="22"/>
        </w:rPr>
        <w:t xml:space="preserve">Unity Vector, the machine-learning ad platform — management-driven, becoming structural. </w:t>
      </w:r>
      <w:r>
        <w:rPr>
          <w:rFonts w:ascii="Arial" w:cs="Arial" w:eastAsia="Arial" w:hAnsi="Arial"/>
          <w:sz w:val="22"/>
          <w:szCs w:val="22"/>
        </w:rPr>
        <w:t xml:space="preserve">Rolled out in Q1 2025 and migrated the Unity Ad Network onto it, Vector is the stated cause of essentially all of Unity's growth (FY2025 10-K; Q2 2026 10-Q). Guidance for Q3 2026 puts strategic Grow at $380–385m, up 68–70% year over year. Its durability is the central open question in this document: a model upgrade produces a step change, and step changes lap.</w:t>
      </w:r>
    </w:p>
    <w:p>
      <w:pPr>
        <w:pStyle w:val="ListParagraph"/>
        <w:numPr>
          <w:ilvl w:val="0"/>
          <w:numId w:val="2"/>
        </w:numPr>
        <w:spacing w:after="100" w:line="276"/>
      </w:pPr>
      <w:r>
        <w:rPr>
          <w:rFonts w:ascii="Arial" w:cs="Arial" w:eastAsia="Arial" w:hAnsi="Arial"/>
          <w:b/>
          <w:bCs/>
          <w:sz w:val="22"/>
          <w:szCs w:val="22"/>
        </w:rPr>
        <w:t xml:space="preserve">The run-off of exited businesses — temporary, and arithmetic. </w:t>
      </w:r>
      <w:r>
        <w:rPr>
          <w:rFonts w:ascii="Arial" w:cs="Arial" w:eastAsia="Arial" w:hAnsi="Arial"/>
          <w:sz w:val="22"/>
          <w:szCs w:val="22"/>
        </w:rPr>
        <w:t xml:space="preserve">Non-strategic revenue is guided to about $20m in Q3 2026 from $89m a year earlier. Once it reaches zero, reported and strategic growth converge and the flattering gap disappears — that happens around the turn of 2027.</w:t>
      </w:r>
    </w:p>
    <w:p>
      <w:pPr>
        <w:pStyle w:val="ListParagraph"/>
        <w:numPr>
          <w:ilvl w:val="0"/>
          <w:numId w:val="2"/>
        </w:numPr>
        <w:spacing w:after="100" w:line="276"/>
      </w:pPr>
      <w:r>
        <w:rPr>
          <w:rFonts w:ascii="Arial" w:cs="Arial" w:eastAsia="Arial" w:hAnsi="Arial"/>
          <w:b/>
          <w:bCs/>
          <w:sz w:val="22"/>
          <w:szCs w:val="22"/>
        </w:rPr>
        <w:t xml:space="preserve">Create subscription pricing — management-driven. </w:t>
      </w:r>
      <w:r>
        <w:rPr>
          <w:rFonts w:ascii="Arial" w:cs="Arial" w:eastAsia="Arial" w:hAnsi="Arial"/>
          <w:sz w:val="22"/>
          <w:szCs w:val="22"/>
        </w:rPr>
        <w:t xml:space="preserve">Unity's 2023 Runtime Fee was withdrawn in the third quarter of 2024 and replaced with higher subscription prices after what the company itself describes as "a high volume of negative customer feedback including a boycott and a slowdown of signing new contracts and renewals" (FY2024 10-K). Create's growth since has come from subscription revenue while cloud and hosting revenue declines, which is price and mix rather than seats.</w:t>
      </w:r>
    </w:p>
    <w:p>
      <w:pPr>
        <w:pStyle w:val="ListParagraph"/>
        <w:numPr>
          <w:ilvl w:val="0"/>
          <w:numId w:val="2"/>
        </w:numPr>
        <w:spacing w:after="100" w:line="276"/>
      </w:pPr>
      <w:r>
        <w:rPr>
          <w:rFonts w:ascii="Arial" w:cs="Arial" w:eastAsia="Arial" w:hAnsi="Arial"/>
          <w:b/>
          <w:bCs/>
          <w:sz w:val="22"/>
          <w:szCs w:val="22"/>
        </w:rPr>
        <w:t xml:space="preserve">Greater China — structural, and the only region growing. </w:t>
      </w:r>
      <w:r>
        <w:rPr>
          <w:rFonts w:ascii="Arial" w:cs="Arial" w:eastAsia="Arial" w:hAnsi="Arial"/>
          <w:sz w:val="22"/>
          <w:szCs w:val="22"/>
        </w:rPr>
        <w:t xml:space="preserve">Greater China revenue rose 29% to $333.6m in FY2025 while US revenue fell 2% to $518.3m and EMEA fell 7% to $601.4m (FY2025 10-K). Unity holds roughly 78% of Unity China, having sold 20.5% to local investors in 2022 for $197m.</w:t>
      </w:r>
    </w:p>
    <w:p>
      <w:pPr>
        <w:pStyle w:val="ListParagraph"/>
        <w:numPr>
          <w:ilvl w:val="0"/>
          <w:numId w:val="2"/>
        </w:numPr>
        <w:spacing w:after="100" w:line="276"/>
      </w:pPr>
      <w:r>
        <w:rPr>
          <w:rFonts w:ascii="Arial" w:cs="Arial" w:eastAsia="Arial" w:hAnsi="Arial"/>
          <w:b/>
          <w:bCs/>
          <w:sz w:val="22"/>
          <w:szCs w:val="22"/>
        </w:rPr>
        <w:t xml:space="preserve">Industry volume — a headwind, not a driver. </w:t>
      </w:r>
      <w:r>
        <w:rPr>
          <w:rFonts w:ascii="Arial" w:cs="Arial" w:eastAsia="Arial" w:hAnsi="Arial"/>
          <w:sz w:val="22"/>
          <w:szCs w:val="22"/>
        </w:rPr>
        <w:t xml:space="preserve">Global mobile game in-app-purchase revenue grew 1% in 2025 and total downloads 0.8%, while non-game app spending grew 21% (Sensor Tower, State of Mobile 2026). Unity is not being carried by its market; it is taking share within a flat one, which is a higher-quality but more fragile source of growth.</w:t>
      </w:r>
    </w:p>
    <w:p>
      <w:pPr>
        <w:pStyle w:val="Heading1"/>
        <w:pageBreakBefore/>
        <w:spacing w:after="200" w:before="360"/>
      </w:pPr>
      <w:r>
        <w:rPr>
          <w:rFonts w:ascii="Arial" w:cs="Arial" w:eastAsia="Arial" w:hAnsi="Arial"/>
          <w:b/>
          <w:bCs/>
          <w:color w:val="1F3864"/>
          <w:sz w:val="32"/>
          <w:szCs w:val="32"/>
        </w:rPr>
        <w:t xml:space="preserve">5. Margin, Cash and Capital Allocation</w:t>
      </w:r>
    </w:p>
    <w:p>
      <w:pPr>
        <w:spacing w:after="140" w:line="276"/>
      </w:pPr>
      <w:r>
        <w:rPr>
          <w:rFonts w:ascii="Arial" w:cs="Arial" w:eastAsia="Arial" w:hAnsi="Arial"/>
          <w:sz w:val="22"/>
          <w:szCs w:val="22"/>
        </w:rPr>
        <w:t xml:space="preserve">Unity's cost of revenue is hosting, the amortisation of acquired intangibles, support personnel and the direct costs of serving ads (FY2025 10-K). Almost none of it varies with an incremental impression, which is why gross margin expands sharply when revenue recovers: GAAP gross margin went from 66% in FY2023 to 73% in FY2024 and 74% in FY2025, and adjusted gross margin — which strips out amortisation of acquired intangibles, stock compensation and depreciation — reached 83%. The improvement is mix as much as efficiency, because the businesses Unity exited were the ones carrying people.</w:t>
      </w:r>
    </w:p>
    <w:p>
      <w:pPr>
        <w:spacing w:after="140" w:line="276"/>
      </w:pPr>
      <w:r>
        <w:rPr>
          <w:rFonts w:ascii="Arial" w:cs="Arial" w:eastAsia="Arial" w:hAnsi="Arial"/>
          <w:sz w:val="22"/>
          <w:szCs w:val="22"/>
        </w:rPr>
        <w:t xml:space="preserve">The operating cost base is where this company is actually decided. Headcount fell from 7,703 at the end of 2022 to 4,987 at the end of 2024 and 4,412 at the end of 2025, a 43% reduction from the peak (FY2022, FY2024 and FY2025 10-Ks). Total operating expenses fell from $2,286m in FY2023 to $1,851m in FY2025 while gross profit fell only $82m. That is the whole of the margin story: Unity did not become more profitable by selling more, it became more profitable by employing fewer people.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60"/>
        <w:gridCol w:w="1625"/>
        <w:gridCol w:w="1625"/>
        <w:gridCol w:w="1625"/>
        <w:gridCol w:w="1625"/>
      </w:tblGrid>
      <w:tr>
        <w:trPr>
          <w:tblHeader/>
        </w:trPr>
        <w:tc>
          <w:tcPr>
            <w:tcW w:type="dxa" w:w="286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
            </w:r>
          </w:p>
        </w:tc>
        <w:tc>
          <w:tcPr>
            <w:tcW w:type="dxa" w:w="1625"/>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FY2022</w:t>
            </w:r>
          </w:p>
        </w:tc>
        <w:tc>
          <w:tcPr>
            <w:tcW w:type="dxa" w:w="1625"/>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FY2023</w:t>
            </w:r>
          </w:p>
        </w:tc>
        <w:tc>
          <w:tcPr>
            <w:tcW w:type="dxa" w:w="1625"/>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FY2024</w:t>
            </w:r>
          </w:p>
        </w:tc>
        <w:tc>
          <w:tcPr>
            <w:tcW w:type="dxa" w:w="1625"/>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FY2025</w:t>
            </w:r>
          </w:p>
        </w:tc>
      </w:tr>
      <w:tr>
        <w:trPr>
          <w:tblHeader w:val="false"/>
        </w:trPr>
        <w:tc>
          <w:tcPr>
            <w:tcW w:type="dxa" w:w="2860"/>
            <w:tcMar>
              <w:top w:type="dxa" w:w="80"/>
              <w:left w:type="dxa" w:w="120"/>
              <w:bottom w:type="dxa" w:w="80"/>
              <w:right w:type="dxa" w:w="120"/>
            </w:tcMar>
          </w:tcPr>
          <w:p>
            <w:pPr>
              <w:spacing w:after="0" w:line="264"/>
              <w:jc w:val="left"/>
            </w:pPr>
            <w:r>
              <w:rPr>
                <w:rFonts w:ascii="Arial" w:cs="Arial" w:eastAsia="Arial" w:hAnsi="Arial"/>
                <w:sz w:val="20"/>
                <w:szCs w:val="20"/>
              </w:rPr>
              <w:t xml:space="preserve">Revenue</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$1,391m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$2,187m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$1,813m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$1,850m</w:t>
            </w:r>
          </w:p>
        </w:tc>
      </w:tr>
      <w:tr>
        <w:trPr>
          <w:tblHeader w:val="false"/>
        </w:trPr>
        <w:tc>
          <w:tcPr>
            <w:tcW w:type="dxa" w:w="2860"/>
            <w:tcMar>
              <w:top w:type="dxa" w:w="80"/>
              <w:left w:type="dxa" w:w="120"/>
              <w:bottom w:type="dxa" w:w="80"/>
              <w:right w:type="dxa" w:w="120"/>
            </w:tcMar>
          </w:tcPr>
          <w:p>
            <w:pPr>
              <w:spacing w:after="0" w:line="264"/>
              <w:jc w:val="left"/>
            </w:pPr>
            <w:r>
              <w:rPr>
                <w:rFonts w:ascii="Arial" w:cs="Arial" w:eastAsia="Arial" w:hAnsi="Arial"/>
                <w:sz w:val="20"/>
                <w:szCs w:val="20"/>
              </w:rPr>
              <w:t xml:space="preserve">GAAP gross margin</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68%</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66%</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73%</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74%</w:t>
            </w:r>
          </w:p>
        </w:tc>
      </w:tr>
      <w:tr>
        <w:trPr>
          <w:tblHeader w:val="false"/>
        </w:trPr>
        <w:tc>
          <w:tcPr>
            <w:tcW w:type="dxa" w:w="2860"/>
            <w:tcMar>
              <w:top w:type="dxa" w:w="80"/>
              <w:left w:type="dxa" w:w="120"/>
              <w:bottom w:type="dxa" w:w="80"/>
              <w:right w:type="dxa" w:w="120"/>
            </w:tcMar>
          </w:tcPr>
          <w:p>
            <w:pPr>
              <w:spacing w:after="0" w:line="264"/>
              <w:jc w:val="left"/>
            </w:pPr>
            <w:r>
              <w:rPr>
                <w:rFonts w:ascii="Arial" w:cs="Arial" w:eastAsia="Arial" w:hAnsi="Arial"/>
                <w:sz w:val="20"/>
                <w:szCs w:val="20"/>
              </w:rPr>
              <w:t xml:space="preserve">Adjusted EBITDA (margin)</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n/d</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n/d</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$390m (21%)</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$409m (22%)</w:t>
            </w:r>
          </w:p>
        </w:tc>
      </w:tr>
      <w:tr>
        <w:trPr>
          <w:tblHeader w:val="false"/>
        </w:trPr>
        <w:tc>
          <w:tcPr>
            <w:tcW w:type="dxa" w:w="2860"/>
            <w:tcMar>
              <w:top w:type="dxa" w:w="80"/>
              <w:left w:type="dxa" w:w="120"/>
              <w:bottom w:type="dxa" w:w="80"/>
              <w:right w:type="dxa" w:w="120"/>
            </w:tcMar>
          </w:tcPr>
          <w:p>
            <w:pPr>
              <w:spacing w:after="0" w:line="264"/>
              <w:jc w:val="left"/>
            </w:pPr>
            <w:r>
              <w:rPr>
                <w:rFonts w:ascii="Arial" w:cs="Arial" w:eastAsia="Arial" w:hAnsi="Arial"/>
                <w:sz w:val="20"/>
                <w:szCs w:val="20"/>
              </w:rPr>
              <w:t xml:space="preserve">Operating cash flow</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$(59)m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$235m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$316m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$423m</w:t>
            </w:r>
          </w:p>
        </w:tc>
      </w:tr>
      <w:tr>
        <w:trPr>
          <w:tblHeader w:val="false"/>
        </w:trPr>
        <w:tc>
          <w:tcPr>
            <w:tcW w:type="dxa" w:w="2860"/>
            <w:tcMar>
              <w:top w:type="dxa" w:w="80"/>
              <w:left w:type="dxa" w:w="120"/>
              <w:bottom w:type="dxa" w:w="80"/>
              <w:right w:type="dxa" w:w="120"/>
            </w:tcMar>
          </w:tcPr>
          <w:p>
            <w:pPr>
              <w:spacing w:after="0" w:line="264"/>
              <w:jc w:val="left"/>
            </w:pPr>
            <w:r>
              <w:rPr>
                <w:rFonts w:ascii="Arial" w:cs="Arial" w:eastAsia="Arial" w:hAnsi="Arial"/>
                <w:sz w:val="20"/>
                <w:szCs w:val="20"/>
              </w:rPr>
              <w:t xml:space="preserve">Capital expenditure</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$57m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$56m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$30m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$19m</w:t>
            </w:r>
          </w:p>
        </w:tc>
      </w:tr>
      <w:tr>
        <w:trPr>
          <w:tblHeader w:val="false"/>
        </w:trPr>
        <w:tc>
          <w:tcPr>
            <w:tcW w:type="dxa" w:w="2860"/>
            <w:tcMar>
              <w:top w:type="dxa" w:w="80"/>
              <w:left w:type="dxa" w:w="120"/>
              <w:bottom w:type="dxa" w:w="80"/>
              <w:right w:type="dxa" w:w="120"/>
            </w:tcMar>
          </w:tcPr>
          <w:p>
            <w:pPr>
              <w:spacing w:after="0" w:line="264"/>
              <w:jc w:val="left"/>
            </w:pPr>
            <w:r>
              <w:rPr>
                <w:rFonts w:ascii="Arial" w:cs="Arial" w:eastAsia="Arial" w:hAnsi="Arial"/>
                <w:sz w:val="20"/>
                <w:szCs w:val="20"/>
              </w:rPr>
              <w:t xml:space="preserve">Shares outstanding (year end)</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374m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385m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409m</w:t>
            </w:r>
          </w:p>
        </w:tc>
        <w:tc>
          <w:tcPr>
            <w:tcW w:type="dxa" w:w="1625"/>
            <w:tcMar>
              <w:top w:type="dxa" w:w="80"/>
              <w:left w:type="dxa" w:w="120"/>
              <w:bottom w:type="dxa" w:w="80"/>
              <w:right w:type="dxa" w:w="120"/>
            </w:tcMar>
          </w:tcPr>
          <w:p>
            <w:pPr>
              <w:spacing w:after="0" w:line="264"/>
              <w:jc w:val="right"/>
            </w:pPr>
            <w:r>
              <w:rPr>
                <w:rFonts w:ascii="Arial" w:cs="Arial" w:eastAsia="Arial" w:hAnsi="Arial"/>
                <w:sz w:val="20"/>
                <w:szCs w:val="20"/>
              </w:rPr>
              <w:t xml:space="preserve">433m</w:t>
            </w:r>
          </w:p>
        </w:tc>
      </w:tr>
    </w:tbl>
    <w:p>
      <w:pPr>
        <w:spacing w:after="200" w:line="276"/>
      </w:pPr>
      <w:r>
        <w:rPr>
          <w:rFonts w:ascii="Arial" w:cs="Arial" w:eastAsia="Arial" w:hAnsi="Arial"/>
          <w:color w:val="595959"/>
          <w:sz w:val="18"/>
          <w:szCs w:val="18"/>
        </w:rPr>
        <w:t xml:space="preserve">Sources: FY2022, FY2023, FY2024 and FY2025 10-Ks. Comparability warnings: FY2022 includes ironSource for under two months and FY2023 for a full year, so the FY2022–FY2023 revenue jump is largely acquired, not grown. The portfolio reset began in Q4 2023 and the definition of "non-strategic" was widened again in Q1 2026 to include the ironSource network and Supersonic, with prior periods restated. Adjusted EBITDA on the current definition is disclosed only from FY2024. FY2022 operating cash flow was flattered by roughly $200m of prepaid licence fees received from Weta FX.</w:t>
      </w:r>
    </w:p>
    <w:p>
      <w:pPr>
        <w:pStyle w:val="Heading2"/>
        <w:spacing w:after="180" w:before="180"/>
      </w:pPr>
      <w:r>
        <w:rPr>
          <w:rFonts w:ascii="Arial" w:cs="Arial" w:eastAsia="Arial" w:hAnsi="Arial"/>
          <w:b/>
          <w:bCs/>
          <w:color w:val="1F3864"/>
          <w:sz w:val="28"/>
          <w:szCs w:val="28"/>
        </w:rPr>
        <w:t xml:space="preserve">Cash conversion and the cost that does not appear in EBITDA</w:t>
      </w:r>
    </w:p>
    <w:p>
      <w:pPr>
        <w:spacing w:after="140" w:line="276"/>
      </w:pPr>
      <w:r>
        <w:rPr>
          <w:rFonts w:ascii="Arial" w:cs="Arial" w:eastAsia="Arial" w:hAnsi="Arial"/>
          <w:sz w:val="22"/>
          <w:szCs w:val="22"/>
        </w:rPr>
        <w:t xml:space="preserve">Cash conversion is strong and improving. FY2025 operating cash flow of $423.0m and free cash flow of $403.9m were generated alongside a GAAP net loss of $401.5m, and the first half of 2026 produced $268.4m of free cash flow against $134.0m a year earlier (FY2025 10-K; Q2 2026 10-Q). Capital expenditure was $19.0m in FY2025, about 1% of revenue — this business needs almost no physical capital.</w:t>
      </w:r>
    </w:p>
    <w:p>
      <w:pPr>
        <w:spacing w:after="140" w:line="276"/>
      </w:pPr>
      <w:r>
        <w:rPr>
          <w:rFonts w:ascii="Arial" w:cs="Arial" w:eastAsia="Arial" w:hAnsi="Arial"/>
          <w:sz w:val="22"/>
          <w:szCs w:val="22"/>
        </w:rPr>
        <w:t xml:space="preserve">It does, however, consume a great deal of equity. Stock-based compensation was $380.2m in FY2025, 21% of revenue, and shares outstanding rose from 292.6m at the end of 2021 to 432.9m at the end of 2025, a 48% increase. Unity's adjusted EPS of $0.86 is struck on 474.8m diluted shares against 420.9m used for the GAAP loss per share, because the convertible notes and unvested awards are dilutive only when the adjusted figure is positive. Adjusted EBITDA of $409m is a real cash concept for hosting and headcount, but it is not a measure of what accrues to a shareholder whose claim is diluted by a fifth of revenue each year.</w:t>
      </w:r>
    </w:p>
    <w:p>
      <w:pPr>
        <w:pStyle w:val="Heading2"/>
        <w:spacing w:after="180" w:before="180"/>
      </w:pPr>
      <w:r>
        <w:rPr>
          <w:rFonts w:ascii="Arial" w:cs="Arial" w:eastAsia="Arial" w:hAnsi="Arial"/>
          <w:b/>
          <w:bCs/>
          <w:color w:val="1F3864"/>
          <w:sz w:val="28"/>
          <w:szCs w:val="28"/>
        </w:rPr>
        <w:t xml:space="preserve">Where the cash has gone</w:t>
      </w:r>
    </w:p>
    <w:p>
      <w:pPr>
        <w:spacing w:after="140" w:line="276"/>
      </w:pPr>
      <w:r>
        <w:rPr>
          <w:rFonts w:ascii="Arial" w:cs="Arial" w:eastAsia="Arial" w:hAnsi="Arial"/>
          <w:sz w:val="22"/>
          <w:szCs w:val="22"/>
        </w:rPr>
        <w:t xml:space="preserve">Ranked over 2021 to mid-2026, capital allocation was dominated by acquisitions, then by undoing them. Unity paid roughly $2.92bn in stock for ironSource in November 2022 (112.5m shares plus assumed awards), $1.53bn for Weta Digital's assets in December 2021 and $0.33bn for Parsec in September 2021 — about $4.8bn of purchases, nearly all in equity issued at high prices (FY2021 and FY2022 10-Ks). It then repurchased $1.5bn of its own stock in 2022 and about $0.25bn in 2023 under a $2.5bn authorisation, funded in part by a concurrent $1.0bn private placement, leaving $750m unused when the programme lapsed. No repurchase programme is in place today and no dividend has ever been paid.</w:t>
      </w:r>
    </w:p>
    <w:p>
      <w:pPr>
        <w:spacing w:after="140" w:line="276"/>
      </w:pPr>
      <w:r>
        <w:rPr>
          <w:rFonts w:ascii="Arial" w:cs="Arial" w:eastAsia="Arial" w:hAnsi="Arial"/>
          <w:sz w:val="22"/>
          <w:szCs w:val="22"/>
        </w:rPr>
        <w:t xml:space="preserve">The more recent behaviour is different in kind: buying back debt at a discount. Unity repurchased $480m face of its 2026 notes for $415m in March 2024 and a further $688m face for $642m in the first quarter of 2025, funded by issuing $690m of zero-coupon 2030 notes (FY2025 10-K). Read together, the pattern is a company that bought growth with expensive equity at a market peak, then spent the following three years reducing both the share count's growth rate and the debt taken on to support it. The Weta assets acquired for $1.53bn have since had their remaining useful lives cut from four-to-seven years down to one-to-three, adding $77m of amortisation in FY2025 alone — an accounting acknowledgement that they will not be used as planned.</w:t>
      </w:r>
    </w:p>
    <w:p>
      <w:pPr>
        <w:spacing w:after="140" w:line="276"/>
      </w:pPr>
      <w:r>
        <w:rPr>
          <w:rFonts w:ascii="Arial" w:cs="Arial" w:eastAsia="Arial" w:hAnsi="Arial"/>
          <w:sz w:val="22"/>
          <w:szCs w:val="22"/>
        </w:rPr>
        <w:t xml:space="preserve">Three items post-date the FY2025 accounts and belong here. Supersonic was sold on 4 August 2026 for $40m in cash. Unity has a binding obligation to acquire $100m of AppsFlyer shares by the end of 2027, its only outbound investment commitment. And $558m of zero-coupon notes mature in November 2026, which Unity has said it intends to settle in cash against $2.36bn of cash and equivalents at 30 June 2026 (Q2 2026 10-Q) — comfortably covered, and with a 0% coupon there is no interest saving to show for it.</w:t>
      </w:r>
    </w:p>
    <w:p>
      <w:pPr>
        <w:pStyle w:val="Heading1"/>
        <w:pageBreakBefore/>
        <w:spacing w:after="200" w:before="360"/>
      </w:pPr>
      <w:r>
        <w:rPr>
          <w:rFonts w:ascii="Arial" w:cs="Arial" w:eastAsia="Arial" w:hAnsi="Arial"/>
          <w:b/>
          <w:bCs/>
          <w:color w:val="1F3864"/>
          <w:sz w:val="32"/>
          <w:szCs w:val="32"/>
        </w:rPr>
        <w:t xml:space="preserve">6. Cyclicality, Constraints and What to Monitor</w:t>
      </w:r>
    </w:p>
    <w:p>
      <w:pPr>
        <w:spacing w:after="140" w:line="276"/>
      </w:pPr>
      <w:r>
        <w:rPr>
          <w:rFonts w:ascii="Arial" w:cs="Arial" w:eastAsia="Arial" w:hAnsi="Arial"/>
          <w:sz w:val="22"/>
          <w:szCs w:val="22"/>
        </w:rPr>
        <w:t xml:space="preserve">Unity's revenue is exposed to two cycles at once. Grow depends on advertiser budgets, which are among the first things cut in a downturn and which Unity holds under revenue-share arrangements with no minimums. Create depends on the number of employed game developers, and that population has been shrinking: 28% of respondents to GDC's 2026 survey had been laid off in the preceding two years. Neither exposure is hedged by contract, and the company itself lists seasonality in Grow — higher revenue when people have more time to play — among the reasons its results fluctuate (FY2025 10-K).</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660"/>
        <w:gridCol w:w="1900"/>
        <w:gridCol w:w="1900"/>
        <w:gridCol w:w="1900"/>
      </w:tblGrid>
      <w:tr>
        <w:trPr>
          <w:tblHeader/>
        </w:trPr>
        <w:tc>
          <w:tcPr>
            <w:tcW w:type="dxa" w:w="366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Revenue by region, FY2025</w:t>
            </w:r>
          </w:p>
        </w:tc>
        <w:tc>
          <w:tcPr>
            <w:tcW w:type="dxa" w:w="190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FY2025</w:t>
            </w:r>
          </w:p>
        </w:tc>
        <w:tc>
          <w:tcPr>
            <w:tcW w:type="dxa" w:w="190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FY2024</w:t>
            </w:r>
          </w:p>
        </w:tc>
        <w:tc>
          <w:tcPr>
            <w:tcW w:type="dxa" w:w="190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Change</w:t>
            </w:r>
          </w:p>
        </w:tc>
      </w:tr>
      <w:tr>
        <w:trPr>
          <w:tblHeader w:val="false"/>
        </w:trPr>
        <w:tc>
          <w:tcPr>
            <w:tcW w:type="dxa" w:w="3660"/>
            <w:tcMar>
              <w:top w:type="dxa" w:w="80"/>
              <w:left w:type="dxa" w:w="120"/>
              <w:bottom w:type="dxa" w:w="80"/>
              <w:right w:type="dxa" w:w="120"/>
            </w:tcMar>
          </w:tcPr>
          <w:p>
            <w:pPr>
              <w:spacing w:after="0" w:line="264"/>
              <w:jc w:val="left"/>
            </w:pPr>
            <w:r>
              <w:rPr>
                <w:rFonts w:ascii="Arial" w:cs="Arial" w:eastAsia="Arial" w:hAnsi="Arial"/>
                <w:sz w:val="20"/>
                <w:szCs w:val="20"/>
              </w:rPr>
              <w:t xml:space="preserve">EMEA</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$601m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$644m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(7)%</w:t>
            </w:r>
          </w:p>
        </w:tc>
      </w:tr>
      <w:tr>
        <w:trPr>
          <w:tblHeader w:val="false"/>
        </w:trPr>
        <w:tc>
          <w:tcPr>
            <w:tcW w:type="dxa" w:w="3660"/>
            <w:tcMar>
              <w:top w:type="dxa" w:w="80"/>
              <w:left w:type="dxa" w:w="120"/>
              <w:bottom w:type="dxa" w:w="80"/>
              <w:right w:type="dxa" w:w="120"/>
            </w:tcMar>
          </w:tcPr>
          <w:p>
            <w:pPr>
              <w:spacing w:after="0" w:line="264"/>
              <w:jc w:val="left"/>
            </w:pPr>
            <w:r>
              <w:rPr>
                <w:rFonts w:ascii="Arial" w:cs="Arial" w:eastAsia="Arial" w:hAnsi="Arial"/>
                <w:sz w:val="20"/>
                <w:szCs w:val="20"/>
              </w:rPr>
              <w:t xml:space="preserve">United States</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$518m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$530m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(2)%</w:t>
            </w:r>
          </w:p>
        </w:tc>
      </w:tr>
      <w:tr>
        <w:trPr>
          <w:tblHeader w:val="false"/>
        </w:trPr>
        <w:tc>
          <w:tcPr>
            <w:tcW w:type="dxa" w:w="3660"/>
            <w:tcMar>
              <w:top w:type="dxa" w:w="80"/>
              <w:left w:type="dxa" w:w="120"/>
              <w:bottom w:type="dxa" w:w="80"/>
              <w:right w:type="dxa" w:w="120"/>
            </w:tcMar>
          </w:tcPr>
          <w:p>
            <w:pPr>
              <w:spacing w:after="0" w:line="264"/>
              <w:jc w:val="left"/>
            </w:pPr>
            <w:r>
              <w:rPr>
                <w:rFonts w:ascii="Arial" w:cs="Arial" w:eastAsia="Arial" w:hAnsi="Arial"/>
                <w:sz w:val="20"/>
                <w:szCs w:val="20"/>
              </w:rPr>
              <w:t xml:space="preserve">Asia-Pacific ex-Greater China</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$349m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$330m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+6%</w:t>
            </w:r>
          </w:p>
        </w:tc>
      </w:tr>
      <w:tr>
        <w:trPr>
          <w:tblHeader w:val="false"/>
        </w:trPr>
        <w:tc>
          <w:tcPr>
            <w:tcW w:type="dxa" w:w="3660"/>
            <w:tcMar>
              <w:top w:type="dxa" w:w="80"/>
              <w:left w:type="dxa" w:w="120"/>
              <w:bottom w:type="dxa" w:w="80"/>
              <w:right w:type="dxa" w:w="120"/>
            </w:tcMar>
          </w:tcPr>
          <w:p>
            <w:pPr>
              <w:spacing w:after="0" w:line="264"/>
              <w:jc w:val="left"/>
            </w:pPr>
            <w:r>
              <w:rPr>
                <w:rFonts w:ascii="Arial" w:cs="Arial" w:eastAsia="Arial" w:hAnsi="Arial"/>
                <w:sz w:val="20"/>
                <w:szCs w:val="20"/>
              </w:rPr>
              <w:t xml:space="preserve">Greater China</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$334m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$259m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+29%</w:t>
            </w:r>
          </w:p>
        </w:tc>
      </w:tr>
      <w:tr>
        <w:trPr>
          <w:tblHeader w:val="false"/>
        </w:trPr>
        <w:tc>
          <w:tcPr>
            <w:tcW w:type="dxa" w:w="3660"/>
            <w:tcMar>
              <w:top w:type="dxa" w:w="80"/>
              <w:left w:type="dxa" w:w="120"/>
              <w:bottom w:type="dxa" w:w="80"/>
              <w:right w:type="dxa" w:w="120"/>
            </w:tcMar>
          </w:tcPr>
          <w:p>
            <w:pPr>
              <w:spacing w:after="0" w:line="264"/>
              <w:jc w:val="left"/>
            </w:pPr>
            <w:r>
              <w:rPr>
                <w:rFonts w:ascii="Arial" w:cs="Arial" w:eastAsia="Arial" w:hAnsi="Arial"/>
                <w:sz w:val="20"/>
                <w:szCs w:val="20"/>
              </w:rPr>
              <w:t xml:space="preserve">Other Americas</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$47m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$50m</w:t>
            </w:r>
          </w:p>
        </w:tc>
        <w:tc>
          <w:tcPr>
            <w:tcW w:type="dxa" w:w="1900"/>
            <w:tcMar>
              <w:top w:type="dxa" w:w="80"/>
              <w:left w:type="dxa" w:w="120"/>
              <w:bottom w:type="dxa" w:w="80"/>
              <w:right w:type="dxa" w:w="120"/>
            </w:tcMar>
          </w:tcPr>
          <w:p>
            <w:pPr>
              <w:spacing w:after="0" w:line="264"/>
              <w:jc w:val="right"/>
            </w:pPr>
            <w:r>
              <w:rPr>
                <w:rFonts w:ascii="Arial" w:cs="Arial" w:eastAsia="Arial" w:hAnsi="Arial"/>
                <w:sz w:val="20"/>
                <w:szCs w:val="20"/>
              </w:rPr>
              <w:t xml:space="preserve">(6)%</w:t>
            </w:r>
          </w:p>
        </w:tc>
      </w:tr>
    </w:tbl>
    <w:p>
      <w:pPr>
        <w:spacing w:after="200" w:line="276"/>
      </w:pPr>
      <w:r>
        <w:rPr>
          <w:rFonts w:ascii="Arial" w:cs="Arial" w:eastAsia="Arial" w:hAnsi="Arial"/>
          <w:color w:val="595959"/>
          <w:sz w:val="18"/>
          <w:szCs w:val="18"/>
        </w:rPr>
        <w:t xml:space="preserve">Source: FY2025 10-K, revenue disaggregated by customer invoice address.</w:t>
      </w:r>
    </w:p>
    <w:p>
      <w:pPr>
        <w:pStyle w:val="Heading2"/>
        <w:spacing w:after="180" w:before="180"/>
      </w:pPr>
      <w:r>
        <w:rPr>
          <w:rFonts w:ascii="Arial" w:cs="Arial" w:eastAsia="Arial" w:hAnsi="Arial"/>
          <w:b/>
          <w:bCs/>
          <w:color w:val="1F3864"/>
          <w:sz w:val="28"/>
          <w:szCs w:val="28"/>
        </w:rPr>
        <w:t xml:space="preserve">Where the business sits in its own cycle</w:t>
      </w:r>
    </w:p>
    <w:p>
      <w:pPr>
        <w:spacing w:after="140" w:line="276"/>
      </w:pPr>
      <w:r>
        <w:rPr>
          <w:rFonts w:ascii="Arial" w:cs="Arial" w:eastAsia="Arial" w:hAnsi="Arial"/>
          <w:sz w:val="22"/>
          <w:szCs w:val="22"/>
        </w:rPr>
        <w:t xml:space="preserve">This matters more than the level of any single metric. Revenue peaked at $2,187m in FY2023, troughed at $1,813m in FY2024, and reached $546.5m in Q2 2026 — an annualised $2,186m, back at the prior peak. Margins, however, are not back at prior levels; they are above them. Adjusted EBITDA margin was 29% in Q2 2026 against 21–22% in FY2024 and FY2025, and both gross margin and free cash flow are at records (Q2 2026 press release). Unity is therefore at a cyclical and structural high on profitability while its industry's volume backdrop is flat, which is the configuration in which reported margins are least likely to be a fair guide to the next few years.</w:t>
      </w:r>
    </w:p>
    <w:p>
      <w:pPr>
        <w:spacing w:after="140" w:line="276"/>
      </w:pPr>
      <w:r>
        <w:rPr>
          <w:rFonts w:ascii="Arial" w:cs="Arial" w:eastAsia="Arial" w:hAnsi="Arial"/>
          <w:sz w:val="22"/>
          <w:szCs w:val="22"/>
        </w:rPr>
        <w:t xml:space="preserve">Several of the conditions producing those margins will not repeat. Vector's contribution is a one-off model migration that laps through 2026. The run-off of non-strategic revenue flatters strategic growth and ends when the run-off does. Interest income and other income was $107.9m in FY2025 — 26% of adjusted EBITDA — earned on a $2.1bn cash balance at current rates, and it is a rate call, not a business result. And $294m of impairments in the first half of 2026 removed intangible assets whose amortisation would otherwise have burdened future GAAP earnings, which improves reported profit without improving the business.</w:t>
      </w:r>
    </w:p>
    <w:p>
      <w:pPr>
        <w:spacing w:after="140" w:line="276"/>
      </w:pPr>
      <w:r>
        <w:rPr>
          <w:rFonts w:ascii="Arial" w:cs="Arial" w:eastAsia="Arial" w:hAnsi="Arial"/>
          <w:sz w:val="22"/>
          <w:szCs w:val="22"/>
        </w:rPr>
        <w:t xml:space="preserve">The industry downside case would reach Unity through supply rather than demand. If engine share drifts — Godot at 11% and free is the live example — fewer new games embed Unity's SDK, the ad network's owned supply footprint erodes with a multi-year lag, and its first-party conversion signal weakens exactly where the ATT evidence says signal is worth most. That is a margin mechanism, not just a volume one, because Grow's economics depend on not having to buy supply at the market price.</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rPr>
          <w:tblHeader/>
        </w:trPr>
        <w:tc>
          <w:tcPr>
            <w:tcW w:type="dxa" w:w="468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Likely to survive ten years</w:t>
            </w:r>
          </w:p>
        </w:tc>
        <w:tc>
          <w:tcPr>
            <w:tcW w:type="dxa" w:w="4680"/>
            <w:shd w:fill="EDF0F7"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Currently helping, and may not</w:t>
            </w:r>
          </w:p>
        </w:tc>
      </w:tr>
      <w:tr>
        <w:trPr>
          <w:tblHeader w:val="false"/>
        </w:trPr>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Mid-project engine switching costs, which make revenue erosion slow and visible in advance</w:t>
            </w:r>
          </w:p>
        </w:tc>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Vector's step-change in ad performance, which laps during 2026</w:t>
            </w:r>
          </w:p>
        </w:tc>
      </w:tr>
      <w:tr>
        <w:trPr>
          <w:tblHeader w:val="false"/>
        </w:trPr>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Owned ad supply inside Unity-built games, sourced without buying it in the open market</w:t>
            </w:r>
          </w:p>
        </w:tc>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The 33% decline in non-strategic revenue, which flatters strategic growth until it reaches zero</w:t>
            </w:r>
          </w:p>
        </w:tc>
      </w:tr>
      <w:tr>
        <w:trPr>
          <w:tblHeader w:val="false"/>
        </w:trPr>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A capital-light model: capex about 1% of revenue, with $2.36bn of cash at 30 June 2026</w:t>
            </w:r>
          </w:p>
        </w:tc>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$107.9m of interest income in FY2025, 26% of adjusted EBITDA, dependent on rates</w:t>
            </w:r>
          </w:p>
        </w:tc>
      </w:tr>
      <w:tr>
        <w:trPr>
          <w:tblHeader w:val="false"/>
        </w:trPr>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Contracted Create backlog of $494m, 46% of it recognised within twelve months</w:t>
            </w:r>
          </w:p>
        </w:tc>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Margin from a 43% headcount reduction — a one-time saving, not a repeatable one</w:t>
            </w:r>
          </w:p>
        </w:tc>
      </w:tr>
      <w:tr>
        <w:trPr>
          <w:tblHeader w:val="false"/>
        </w:trPr>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Net-revenue accounting in Grow, which keeps reported margins structurally high</w:t>
            </w:r>
          </w:p>
        </w:tc>
        <w:tc>
          <w:tcPr>
            <w:tcW w:type="dxa" w:w="4680"/>
            <w:tcMar>
              <w:top w:type="dxa" w:w="80"/>
              <w:left w:type="dxa" w:w="120"/>
              <w:bottom w:type="dxa" w:w="80"/>
              <w:right w:type="dxa" w:w="120"/>
            </w:tcMar>
          </w:tcPr>
          <w:p>
            <w:pPr>
              <w:spacing w:after="0" w:line="264"/>
              <w:jc w:val="left"/>
            </w:pPr>
            <w:r>
              <w:rPr>
                <w:rFonts w:ascii="Arial" w:cs="Arial" w:eastAsia="Arial" w:hAnsi="Arial"/>
                <w:sz w:val="20"/>
                <w:szCs w:val="20"/>
              </w:rPr>
              <w:t xml:space="preserve">$294m of 2026 impairments, which lower future amortisation without changing cash</w:t>
            </w:r>
          </w:p>
        </w:tc>
      </w:tr>
    </w:tbl>
    <w:p>
      <w:pPr>
        <w:spacing w:after="160" w:line="276"/>
      </w:pPr>
      <w:r>
        <w:rPr>
          <w:rFonts w:ascii="Arial" w:cs="Arial" w:eastAsia="Arial" w:hAnsi="Arial"/>
          <w:sz w:val="22"/>
          <w:szCs w:val="22"/>
        </w:rPr>
        <w:t xml:space="preserve"/>
      </w:r>
    </w:p>
    <w:p>
      <w:pPr>
        <w:pStyle w:val="Heading2"/>
        <w:spacing w:after="180" w:before="180"/>
      </w:pPr>
      <w:r>
        <w:rPr>
          <w:rFonts w:ascii="Arial" w:cs="Arial" w:eastAsia="Arial" w:hAnsi="Arial"/>
          <w:b/>
          <w:bCs/>
          <w:color w:val="1F3864"/>
          <w:sz w:val="28"/>
          <w:szCs w:val="28"/>
        </w:rPr>
        <w:t xml:space="preserve">Leading indicators, and where they are published</w:t>
      </w:r>
    </w:p>
    <w:p>
      <w:pPr>
        <w:pStyle w:val="ListParagraph"/>
        <w:numPr>
          <w:ilvl w:val="0"/>
          <w:numId w:val="2"/>
        </w:numPr>
        <w:spacing w:after="100" w:line="276"/>
      </w:pPr>
      <w:r>
        <w:rPr>
          <w:rFonts w:ascii="Arial" w:cs="Arial" w:eastAsia="Arial" w:hAnsi="Arial"/>
          <w:sz w:val="22"/>
          <w:szCs w:val="22"/>
        </w:rPr>
        <w:t xml:space="preserve">Strategic Create growth, quarterly in Unity's results press release — the cleanest read on whether the engine franchise is still expanding. It grew 5% in Q2 2026 against 11–14% guided three months earlier.</w:t>
      </w:r>
    </w:p>
    <w:p>
      <w:pPr>
        <w:pStyle w:val="ListParagraph"/>
        <w:numPr>
          <w:ilvl w:val="0"/>
          <w:numId w:val="2"/>
        </w:numPr>
        <w:spacing w:after="100" w:line="276"/>
      </w:pPr>
      <w:r>
        <w:rPr>
          <w:rFonts w:ascii="Arial" w:cs="Arial" w:eastAsia="Arial" w:hAnsi="Arial"/>
          <w:sz w:val="22"/>
          <w:szCs w:val="22"/>
        </w:rPr>
        <w:t xml:space="preserve">Primary game-engine share, annually each January in GDC's State of the Game Industry — the only outside series that tracks Unity against Unreal and Godot.</w:t>
      </w:r>
    </w:p>
    <w:p>
      <w:pPr>
        <w:pStyle w:val="ListParagraph"/>
        <w:numPr>
          <w:ilvl w:val="0"/>
          <w:numId w:val="2"/>
        </w:numPr>
        <w:spacing w:after="100" w:line="276"/>
      </w:pPr>
      <w:r>
        <w:rPr>
          <w:rFonts w:ascii="Arial" w:cs="Arial" w:eastAsia="Arial" w:hAnsi="Arial"/>
          <w:sz w:val="22"/>
          <w:szCs w:val="22"/>
        </w:rPr>
        <w:t xml:space="preserve">Mobile game versus non-game in-app spending, annually in Sensor Tower's State of Mobile — Unity's supply base is games, and games grew 1% in 2025 against 21% for everything else.</w:t>
      </w:r>
    </w:p>
    <w:p>
      <w:pPr>
        <w:pStyle w:val="ListParagraph"/>
        <w:numPr>
          <w:ilvl w:val="0"/>
          <w:numId w:val="2"/>
        </w:numPr>
        <w:spacing w:after="100" w:line="276"/>
      </w:pPr>
      <w:r>
        <w:rPr>
          <w:rFonts w:ascii="Arial" w:cs="Arial" w:eastAsia="Arial" w:hAnsi="Arial"/>
          <w:sz w:val="22"/>
          <w:szCs w:val="22"/>
        </w:rPr>
        <w:t xml:space="preserve">Ad-network spend concentration by rank band, twice yearly in AppsFlyer's Performance Index — the measure of whether budgets are consolidating toward or away from Unity.</w:t>
      </w:r>
    </w:p>
    <w:p>
      <w:pPr>
        <w:pStyle w:val="ListParagraph"/>
        <w:numPr>
          <w:ilvl w:val="0"/>
          <w:numId w:val="2"/>
        </w:numPr>
        <w:spacing w:after="100" w:line="276"/>
      </w:pPr>
      <w:r>
        <w:rPr>
          <w:rFonts w:ascii="Arial" w:cs="Arial" w:eastAsia="Arial" w:hAnsi="Arial"/>
          <w:sz w:val="22"/>
          <w:szCs w:val="22"/>
        </w:rPr>
        <w:t xml:space="preserve">App store fee schedules at developer.apple.com and support.google.com — Google Play's US, EEA and UK cut takes effect 30 June 2026, and every point released from the store toll is contested between publishers and ad networks.</w:t>
      </w:r>
    </w:p>
    <w:p>
      <w:pPr>
        <w:pStyle w:val="ListParagraph"/>
        <w:numPr>
          <w:ilvl w:val="0"/>
          <w:numId w:val="2"/>
        </w:numPr>
        <w:spacing w:after="100" w:line="276"/>
      </w:pPr>
      <w:r>
        <w:rPr>
          <w:rFonts w:ascii="Arial" w:cs="Arial" w:eastAsia="Arial" w:hAnsi="Arial"/>
          <w:sz w:val="22"/>
          <w:szCs w:val="22"/>
        </w:rPr>
        <w:t xml:space="preserve">Unity's own quarterly filings for the non-strategic revenue line, which reaches roughly zero around the turn of 2027 and removes the difference between reported and underlying growth.</w:t>
      </w:r>
    </w:p>
    <w:p>
      <w:pPr>
        <w:pStyle w:val="Heading1"/>
        <w:pageBreakBefore/>
        <w:spacing w:after="200" w:before="360"/>
      </w:pPr>
      <w:r>
        <w:rPr>
          <w:rFonts w:ascii="Arial" w:cs="Arial" w:eastAsia="Arial" w:hAnsi="Arial"/>
          <w:b/>
          <w:bCs/>
          <w:color w:val="1F3864"/>
          <w:sz w:val="32"/>
          <w:szCs w:val="32"/>
        </w:rPr>
        <w:t xml:space="preserve">7. Risks, Unknowns and Questions for Deeper Work</w:t>
      </w:r>
    </w:p>
    <w:p>
      <w:pPr>
        <w:spacing w:after="140" w:line="276"/>
      </w:pPr>
      <w:r>
        <w:rPr>
          <w:rFonts w:ascii="Arial" w:cs="Arial" w:eastAsia="Arial" w:hAnsi="Arial"/>
          <w:sz w:val="22"/>
          <w:szCs w:val="22"/>
        </w:rPr>
        <w:t xml:space="preserve">The cyclical exposures are covered in Section 6. What follows is what cyclicality does not capture, ordered by how badly each would compound with the others.</w:t>
      </w:r>
    </w:p>
    <w:p>
      <w:pPr>
        <w:pStyle w:val="ListParagraph"/>
        <w:numPr>
          <w:ilvl w:val="0"/>
          <w:numId w:val="2"/>
        </w:numPr>
        <w:spacing w:after="100" w:line="276"/>
      </w:pPr>
      <w:r>
        <w:rPr>
          <w:rFonts w:ascii="Arial" w:cs="Arial" w:eastAsia="Arial" w:hAnsi="Arial"/>
          <w:b/>
          <w:bCs/>
          <w:sz w:val="22"/>
          <w:szCs w:val="22"/>
        </w:rPr>
        <w:t xml:space="preserve">Disclosure has narrowed exactly where the growth question lives. </w:t>
      </w:r>
      <w:r>
        <w:rPr>
          <w:rFonts w:ascii="Arial" w:cs="Arial" w:eastAsia="Arial" w:hAnsi="Arial"/>
          <w:sz w:val="22"/>
          <w:szCs w:val="22"/>
        </w:rPr>
        <w:t xml:space="preserve">Unity reported customers contributing more than $100,000 and a dollar-based net expansion rate in every 10-K from FY2020 to FY2024 — the expansion rate ran 138%, 140%, 111%, 100% and finally 96% for FY2024, on a definition twice narrowed along the way. Neither metric appears in the FY2025 10-K, and the Q2 2026 press release replaced the Create and Grow revenue lines with strategic and non-strategic ones. Retention can now deteriorate without any external evidence until it shows up in the revenue line itself, by which time it is a year old.</w:t>
      </w:r>
    </w:p>
    <w:p>
      <w:pPr>
        <w:pStyle w:val="ListParagraph"/>
        <w:numPr>
          <w:ilvl w:val="0"/>
          <w:numId w:val="2"/>
        </w:numPr>
        <w:spacing w:after="100" w:line="276"/>
      </w:pPr>
      <w:r>
        <w:rPr>
          <w:rFonts w:ascii="Arial" w:cs="Arial" w:eastAsia="Arial" w:hAnsi="Arial"/>
          <w:b/>
          <w:bCs/>
          <w:sz w:val="22"/>
          <w:szCs w:val="22"/>
        </w:rPr>
        <w:t xml:space="preserve">The moat and the growth are in different halves of the company. </w:t>
      </w:r>
      <w:r>
        <w:rPr>
          <w:rFonts w:ascii="Arial" w:cs="Arial" w:eastAsia="Arial" w:hAnsi="Arial"/>
          <w:sz w:val="22"/>
          <w:szCs w:val="22"/>
        </w:rPr>
        <w:t xml:space="preserve">Create is what makes Unity hard to replace, and it grew 5% in Q2 2026 and 1.2% in FY2025. Grow is where the growth is, and it competes with Meta, Google, Apple and AppLovin on modelling quality, where scale compounds. If Create's seat base stagnates while Godot takes indie share, the ad network's structural supply advantage decays quietly over several years — long after the point at which it could be arrested.</w:t>
      </w:r>
    </w:p>
    <w:p>
      <w:pPr>
        <w:pStyle w:val="ListParagraph"/>
        <w:numPr>
          <w:ilvl w:val="0"/>
          <w:numId w:val="2"/>
        </w:numPr>
        <w:spacing w:after="100" w:line="276"/>
      </w:pPr>
      <w:r>
        <w:rPr>
          <w:rFonts w:ascii="Arial" w:cs="Arial" w:eastAsia="Arial" w:hAnsi="Arial"/>
          <w:b/>
          <w:bCs/>
          <w:sz w:val="22"/>
          <w:szCs w:val="22"/>
        </w:rPr>
        <w:t xml:space="preserve">Growth rests on a single model migration with no contractual buffer. </w:t>
      </w:r>
      <w:r>
        <w:rPr>
          <w:rFonts w:ascii="Arial" w:cs="Arial" w:eastAsia="Arial" w:hAnsi="Arial"/>
          <w:sz w:val="22"/>
          <w:szCs w:val="22"/>
        </w:rPr>
        <w:t xml:space="preserve">Grow revenue is earned under revenue-share and profit-share arrangements with no minimums, and customers can shift budget between networks within days. A performance regression in Vector, or a competitor closing the modelling gap, would transmit into revenue within a quarter. Unity's own risk disclosure makes the same point: should customers "lose confidence in the value or effectiveness of our Grow Solutions, consumption of these offerings could decline" (FY2025 10-K).</w:t>
      </w:r>
    </w:p>
    <w:p>
      <w:pPr>
        <w:pStyle w:val="ListParagraph"/>
        <w:numPr>
          <w:ilvl w:val="0"/>
          <w:numId w:val="2"/>
        </w:numPr>
        <w:spacing w:after="100" w:line="276"/>
      </w:pPr>
      <w:r>
        <w:rPr>
          <w:rFonts w:ascii="Arial" w:cs="Arial" w:eastAsia="Arial" w:hAnsi="Arial"/>
          <w:b/>
          <w:bCs/>
          <w:sz w:val="22"/>
          <w:szCs w:val="22"/>
        </w:rPr>
        <w:t xml:space="preserve">The equity itself is a recurring cost. </w:t>
      </w:r>
      <w:r>
        <w:rPr>
          <w:rFonts w:ascii="Arial" w:cs="Arial" w:eastAsia="Arial" w:hAnsi="Arial"/>
          <w:sz w:val="22"/>
          <w:szCs w:val="22"/>
        </w:rPr>
        <w:t xml:space="preserve">Stock compensation of $380m in FY2025 is 21% of revenue and 93% of adjusted EBITDA. The share count has risen 48% since 2021 with no repurchase programme in place, and the August 2026 award of 880,000 price-vesting units to the chief executive — vesting on 30-day average prices of $50, $60 and $75 — sets management's incentive on the share price rather than on the operating metrics this document tracks.</w:t>
      </w:r>
    </w:p>
    <w:p>
      <w:pPr>
        <w:pStyle w:val="ListParagraph"/>
        <w:numPr>
          <w:ilvl w:val="0"/>
          <w:numId w:val="2"/>
        </w:numPr>
        <w:spacing w:after="100" w:line="276"/>
      </w:pPr>
      <w:r>
        <w:rPr>
          <w:rFonts w:ascii="Arial" w:cs="Arial" w:eastAsia="Arial" w:hAnsi="Arial"/>
          <w:b/>
          <w:bCs/>
          <w:sz w:val="22"/>
          <w:szCs w:val="22"/>
        </w:rPr>
        <w:t xml:space="preserve">The Unity China redemption right is a cash claim ahead of shareholders. </w:t>
      </w:r>
      <w:r>
        <w:rPr>
          <w:rFonts w:ascii="Arial" w:cs="Arial" w:eastAsia="Arial" w:hAnsi="Arial"/>
          <w:sz w:val="22"/>
          <w:szCs w:val="22"/>
        </w:rPr>
        <w:t xml:space="preserve">Investors who bought 20.5% of Unity China for $197m in 2022 can require Unity to repurchase their interest at a floor of ¥1.9bn, with a redemption date of August 2027; the balance sheet carries $252.6m of redeemable non-controlling interests at 31 December 2025 (FY2025 10-K). It sits outside the conventional net-debt calculation and falls due in the same window as the 2027 convertible notes.</w:t>
      </w:r>
    </w:p>
    <w:p>
      <w:pPr>
        <w:pStyle w:val="ListParagraph"/>
        <w:numPr>
          <w:ilvl w:val="0"/>
          <w:numId w:val="2"/>
        </w:numPr>
        <w:spacing w:after="100" w:line="276"/>
      </w:pPr>
      <w:r>
        <w:rPr>
          <w:rFonts w:ascii="Arial" w:cs="Arial" w:eastAsia="Arial" w:hAnsi="Arial"/>
          <w:b/>
          <w:bCs/>
          <w:sz w:val="22"/>
          <w:szCs w:val="22"/>
        </w:rPr>
        <w:t xml:space="preserve">Unity's largest competitors are also its distribution. </w:t>
      </w:r>
      <w:r>
        <w:rPr>
          <w:rFonts w:ascii="Arial" w:cs="Arial" w:eastAsia="Arial" w:hAnsi="Arial"/>
          <w:sz w:val="22"/>
          <w:szCs w:val="22"/>
        </w:rPr>
        <w:t xml:space="preserve">Apple and Google set the store rules, own the identifiers that determine ad targeting quality, and sell competing ad products. Apple's ATT already demonstrated that a platform policy change can remove half of an addressable signal in a year, and the permitted US commission on link-outs remains unresolved before the Supreme Court. Google's October 2025 retirement of Privacy Sandbox removed a symmetric threat on Android — a downside withdrawn, not an upside created.</w:t>
      </w:r>
    </w:p>
    <w:p>
      <w:pPr>
        <w:pStyle w:val="Heading2"/>
        <w:spacing w:after="180" w:before="180"/>
      </w:pPr>
      <w:r>
        <w:rPr>
          <w:rFonts w:ascii="Arial" w:cs="Arial" w:eastAsia="Arial" w:hAnsi="Arial"/>
          <w:b/>
          <w:bCs/>
          <w:color w:val="1F3864"/>
          <w:sz w:val="28"/>
          <w:szCs w:val="28"/>
        </w:rPr>
        <w:t xml:space="preserve">What the sources could not answer</w:t>
      </w:r>
    </w:p>
    <w:p>
      <w:pPr>
        <w:pStyle w:val="ListParagraph"/>
        <w:numPr>
          <w:ilvl w:val="0"/>
          <w:numId w:val="2"/>
        </w:numPr>
        <w:spacing w:after="100" w:line="276"/>
      </w:pPr>
      <w:r>
        <w:rPr>
          <w:rFonts w:ascii="Arial" w:cs="Arial" w:eastAsia="Arial" w:hAnsi="Arial"/>
          <w:sz w:val="22"/>
          <w:szCs w:val="22"/>
        </w:rPr>
        <w:t xml:space="preserve">Grow's take rate, and gross advertiser billings behind the net revenue line — never disclosed, so the unit price above is inferred from a dated company impressions claim.</w:t>
      </w:r>
    </w:p>
    <w:p>
      <w:pPr>
        <w:pStyle w:val="ListParagraph"/>
        <w:numPr>
          <w:ilvl w:val="0"/>
          <w:numId w:val="2"/>
        </w:numPr>
        <w:spacing w:after="100" w:line="276"/>
      </w:pPr>
      <w:r>
        <w:rPr>
          <w:rFonts w:ascii="Arial" w:cs="Arial" w:eastAsia="Arial" w:hAnsi="Arial"/>
          <w:sz w:val="22"/>
          <w:szCs w:val="22"/>
        </w:rPr>
        <w:t xml:space="preserve">Segment profitability. Unity reports one segment, so how much of the profit comes from Create and how much from Grow is unknown.</w:t>
      </w:r>
    </w:p>
    <w:p>
      <w:pPr>
        <w:pStyle w:val="ListParagraph"/>
        <w:numPr>
          <w:ilvl w:val="0"/>
          <w:numId w:val="2"/>
        </w:numPr>
        <w:spacing w:after="100" w:line="276"/>
      </w:pPr>
      <w:r>
        <w:rPr>
          <w:rFonts w:ascii="Arial" w:cs="Arial" w:eastAsia="Arial" w:hAnsi="Arial"/>
          <w:sz w:val="22"/>
          <w:szCs w:val="22"/>
        </w:rPr>
        <w:t xml:space="preserve">Paid Create seats, and the split between price increases and seat growth in Create's revenue. Not disclosed since the key metrics were dropped.</w:t>
      </w:r>
    </w:p>
    <w:p>
      <w:pPr>
        <w:pStyle w:val="ListParagraph"/>
        <w:numPr>
          <w:ilvl w:val="0"/>
          <w:numId w:val="2"/>
        </w:numPr>
        <w:spacing w:after="100" w:line="276"/>
      </w:pPr>
      <w:r>
        <w:rPr>
          <w:rFonts w:ascii="Arial" w:cs="Arial" w:eastAsia="Arial" w:hAnsi="Arial"/>
          <w:sz w:val="22"/>
          <w:szCs w:val="22"/>
        </w:rPr>
        <w:t xml:space="preserve">Engine share among mobile titles or by revenue. No independent source with a stated methodology was found; the 70%-of-top-1,000 figure is Unity's own and is dated January 2025.</w:t>
      </w:r>
    </w:p>
    <w:p>
      <w:pPr>
        <w:pStyle w:val="ListParagraph"/>
        <w:numPr>
          <w:ilvl w:val="0"/>
          <w:numId w:val="2"/>
        </w:numPr>
        <w:spacing w:after="100" w:line="276"/>
      </w:pPr>
      <w:r>
        <w:rPr>
          <w:rFonts w:ascii="Arial" w:cs="Arial" w:eastAsia="Arial" w:hAnsi="Arial"/>
          <w:sz w:val="22"/>
          <w:szCs w:val="22"/>
        </w:rPr>
        <w:t xml:space="preserve">Management's own account of demand conditions. The research folder holds no earnings-call transcripts or investor presentations, Unity has published no shareholder letter since 2022 and no supplemental deck with either 2026 release, and the Q2 2026 press release contains a single executive quote and no chief financial officer commentary.</w:t>
      </w:r>
    </w:p>
    <w:p>
      <w:pPr>
        <w:pStyle w:val="ListParagraph"/>
        <w:numPr>
          <w:ilvl w:val="0"/>
          <w:numId w:val="2"/>
        </w:numPr>
        <w:spacing w:after="100" w:line="276"/>
      </w:pPr>
      <w:r>
        <w:rPr>
          <w:rFonts w:ascii="Arial" w:cs="Arial" w:eastAsia="Arial" w:hAnsi="Arial"/>
          <w:sz w:val="22"/>
          <w:szCs w:val="22"/>
        </w:rPr>
        <w:t xml:space="preserve">Full-year 2026 guidance, which Unity did not give in either the Q1 or Q2 2026 release.</w:t>
      </w:r>
    </w:p>
    <w:p>
      <w:pPr>
        <w:pStyle w:val="Heading2"/>
        <w:spacing w:after="180" w:before="180"/>
      </w:pPr>
      <w:r>
        <w:rPr>
          <w:rFonts w:ascii="Arial" w:cs="Arial" w:eastAsia="Arial" w:hAnsi="Arial"/>
          <w:b/>
          <w:bCs/>
          <w:color w:val="1F3864"/>
          <w:sz w:val="28"/>
          <w:szCs w:val="28"/>
        </w:rPr>
        <w:t xml:space="preserve">Questions that would need resolving before forming a thesis</w:t>
      </w:r>
    </w:p>
    <w:p>
      <w:pPr>
        <w:pStyle w:val="ListParagraph"/>
        <w:numPr>
          <w:ilvl w:val="0"/>
          <w:numId w:val="2"/>
        </w:numPr>
        <w:spacing w:after="100" w:line="276"/>
      </w:pPr>
      <w:r>
        <w:rPr>
          <w:rFonts w:ascii="Arial" w:cs="Arial" w:eastAsia="Arial" w:hAnsi="Arial"/>
          <w:sz w:val="22"/>
          <w:szCs w:val="22"/>
        </w:rPr>
        <w:t xml:space="preserve">What is Grow's take rate, and has Vector raised revenue per impression, or won volume at a constant take? These have different durability.</w:t>
      </w:r>
    </w:p>
    <w:p>
      <w:pPr>
        <w:pStyle w:val="ListParagraph"/>
        <w:numPr>
          <w:ilvl w:val="0"/>
          <w:numId w:val="2"/>
        </w:numPr>
        <w:spacing w:after="100" w:line="276"/>
      </w:pPr>
      <w:r>
        <w:rPr>
          <w:rFonts w:ascii="Arial" w:cs="Arial" w:eastAsia="Arial" w:hAnsi="Arial"/>
          <w:sz w:val="22"/>
          <w:szCs w:val="22"/>
        </w:rPr>
        <w:t xml:space="preserve">What does Create growth look like split between price and seats — is the engine franchise growing, or being repriced?</w:t>
      </w:r>
    </w:p>
    <w:p>
      <w:pPr>
        <w:pStyle w:val="ListParagraph"/>
        <w:numPr>
          <w:ilvl w:val="0"/>
          <w:numId w:val="2"/>
        </w:numPr>
        <w:spacing w:after="100" w:line="276"/>
      </w:pPr>
      <w:r>
        <w:rPr>
          <w:rFonts w:ascii="Arial" w:cs="Arial" w:eastAsia="Arial" w:hAnsi="Arial"/>
          <w:sz w:val="22"/>
          <w:szCs w:val="22"/>
        </w:rPr>
        <w:t xml:space="preserve">What is the strategic revenue run-rate once non-strategic revenue reaches zero and the comparison base is clean, from roughly Q1 2027?</w:t>
      </w:r>
    </w:p>
    <w:p>
      <w:pPr>
        <w:pStyle w:val="ListParagraph"/>
        <w:numPr>
          <w:ilvl w:val="0"/>
          <w:numId w:val="2"/>
        </w:numPr>
        <w:spacing w:after="100" w:line="276"/>
      </w:pPr>
      <w:r>
        <w:rPr>
          <w:rFonts w:ascii="Arial" w:cs="Arial" w:eastAsia="Arial" w:hAnsi="Arial"/>
          <w:sz w:val="22"/>
          <w:szCs w:val="22"/>
        </w:rPr>
        <w:t xml:space="preserve">How much of adjusted EBITDA survives a normalisation of interest income and a full lapping of the Vector migration?</w:t>
      </w:r>
    </w:p>
    <w:p>
      <w:pPr>
        <w:pStyle w:val="Heading1"/>
        <w:pageBreakBefore/>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sz w:val="22"/>
          <w:szCs w:val="22"/>
        </w:rPr>
        <w:t xml:space="preserve">Unity is an advertising business attached to a development-tools business: two-thirds of revenue and effectively all of the growth come from an ad auction, while the engine supplies the installed base that auction runs inside.</w:t>
      </w:r>
    </w:p>
    <w:p>
      <w:pPr>
        <w:pStyle w:val="ListParagraph"/>
        <w:numPr>
          <w:ilvl w:val="0"/>
          <w:numId w:val="2"/>
        </w:numPr>
        <w:spacing w:after="100" w:line="276"/>
      </w:pPr>
      <w:r>
        <w:rPr>
          <w:rFonts w:ascii="Arial" w:cs="Arial" w:eastAsia="Arial" w:hAnsi="Arial"/>
          <w:sz w:val="22"/>
          <w:szCs w:val="22"/>
        </w:rPr>
        <w:t xml:space="preserve">The economic engine is retained revenue per ad impression at enormous volume, on a cost base cut by 43% of its people since 2022 — the margin recovery is a cost story, not a pricing one.</w:t>
      </w:r>
    </w:p>
    <w:p>
      <w:pPr>
        <w:pStyle w:val="ListParagraph"/>
        <w:numPr>
          <w:ilvl w:val="0"/>
          <w:numId w:val="2"/>
        </w:numPr>
        <w:spacing w:after="100" w:line="276"/>
      </w:pPr>
      <w:r>
        <w:rPr>
          <w:rFonts w:ascii="Arial" w:cs="Arial" w:eastAsia="Arial" w:hAnsi="Arial"/>
          <w:sz w:val="22"/>
          <w:szCs w:val="22"/>
        </w:rPr>
        <w:t xml:space="preserve">The main growth lever is the Unity Vector model, which lifted strategic Grow revenue 63% year over year in Q2 2026 and laps during 2026; the second lever, the run-off of exited businesses, is arithmetic and ends around the turn of 2027.</w:t>
      </w:r>
    </w:p>
    <w:p>
      <w:pPr>
        <w:pStyle w:val="ListParagraph"/>
        <w:numPr>
          <w:ilvl w:val="0"/>
          <w:numId w:val="2"/>
        </w:numPr>
        <w:spacing w:after="100" w:line="276"/>
      </w:pPr>
      <w:r>
        <w:rPr>
          <w:rFonts w:ascii="Arial" w:cs="Arial" w:eastAsia="Arial" w:hAnsi="Arial"/>
          <w:sz w:val="22"/>
          <w:szCs w:val="22"/>
        </w:rPr>
        <w:t xml:space="preserve">What could break the story is the engine: Create grew 5% last quarter, Godot has reached 11% primary-engine share, and a slow loss of engine position would erode the ad network's owned supply years later, when it could no longer be fixed.</w:t>
      </w:r>
    </w:p>
    <w:p>
      <w:pPr>
        <w:pStyle w:val="ListParagraph"/>
        <w:numPr>
          <w:ilvl w:val="0"/>
          <w:numId w:val="2"/>
        </w:numPr>
        <w:spacing w:after="100" w:line="276"/>
      </w:pPr>
      <w:r>
        <w:rPr>
          <w:rFonts w:ascii="Arial" w:cs="Arial" w:eastAsia="Arial" w:hAnsi="Arial"/>
          <w:sz w:val="22"/>
          <w:szCs w:val="22"/>
        </w:rPr>
        <w:t xml:space="preserve">Monitor strategic Create growth quarterly, GDC's annual engine-share survey, and the non-strategic revenue line — the first tells you whether the moat is intact, the second whether it is being taken, and the third when reported growth stops flattering underlying growth.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Unity Software Inc.</dc:title>
  <dc:creator>Business Overview</dc:creator>
  <cp:lastModifiedBy>Un-named</cp:lastModifiedBy>
  <cp:revision>1</cp:revision>
  <dcterms:created xsi:type="dcterms:W3CDTF">2026-09-07T03:30:14.611Z</dcterms:created>
  <dcterms:modified xsi:type="dcterms:W3CDTF">2026-09-07T03:30:14.612Z</dcterms:modified>
</cp:coreProperties>
</file>

<file path=docProps/custom.xml><?xml version="1.0" encoding="utf-8"?>
<Properties xmlns="http://schemas.openxmlformats.org/officeDocument/2006/custom-properties" xmlns:vt="http://schemas.openxmlformats.org/officeDocument/2006/docPropsVTypes"/>
</file>