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pPr>
      <w:r>
        <w:rPr>
          <w:rFonts w:ascii="Arial" w:cs="Arial" w:eastAsia="Arial" w:hAnsi="Arial"/>
          <w:color w:val="7F7F7F"/>
          <w:sz w:val="30"/>
          <w:szCs w:val="30"/>
        </w:rPr>
        <w:t xml:space="preserve">Business Overview</w:t>
      </w:r>
    </w:p>
    <w:p>
      <w:pPr>
        <w:spacing w:after="120" w:before="120"/>
      </w:pPr>
      <w:r>
        <w:rPr>
          <w:rFonts w:ascii="Arial" w:cs="Arial" w:eastAsia="Arial" w:hAnsi="Arial"/>
          <w:b/>
          <w:bCs/>
          <w:color w:val="1F3864"/>
          <w:sz w:val="56"/>
          <w:szCs w:val="56"/>
        </w:rPr>
        <w:t xml:space="preserve">Visa Inc. (NYSE: V)</w:t>
      </w:r>
    </w:p>
    <w:p>
      <w:pPr>
        <w:pBdr>
          <w:bottom w:val="single" w:color="1F3864" w:sz="12" w:space="8"/>
        </w:pBdr>
        <w:spacing w:after="600"/>
      </w:pPr>
      <w:r>
        <w:rPr>
          <w:rFonts w:ascii="Arial" w:cs="Arial" w:eastAsia="Arial" w:hAnsi="Arial"/>
          <w:color w:val="404040"/>
          <w:sz w:val="24"/>
          <w:szCs w:val="24"/>
        </w:rPr>
        <w:t xml:space="preserve">How the business makes money, what protects it, and what would change it</w:t>
      </w:r>
    </w:p>
    <w:p>
      <w:pPr>
        <w:spacing w:after="140" w:line="264"/>
      </w:pPr>
      <w:r>
        <w:rPr>
          <w:rFonts w:ascii="Arial" w:cs="Arial" w:eastAsia="Arial" w:hAnsi="Arial"/>
          <w:b/>
          <w:bCs/>
          <w:sz w:val="22"/>
          <w:szCs w:val="22"/>
        </w:rPr>
        <w:t xml:space="preserve">7 September 2026</w:t>
      </w:r>
    </w:p>
    <w:p>
      <w:pPr>
        <w:spacing w:after="140" w:line="264"/>
      </w:pPr>
      <w:r>
        <w:rPr>
          <w:rFonts w:ascii="Arial" w:cs="Arial" w:eastAsia="Arial" w:hAnsi="Arial"/>
          <w:sz w:val="20"/>
          <w:szCs w:val="20"/>
        </w:rPr>
        <w:t xml:space="preserve">Evidence base: Visa Inc. filings — FY2016 through FY2025 Forms 10-K, Form 10-Q for the fiscal third quarter ended 30 June 2026 (filed 29 July 2026), and Forms 8-K through July 2026 — supplemented by independent industry sources: the Federal Reserve, the European Commission, the UK Payment Systems Regulator, the Reserve Bank of Australia, the Reserve Bank of India, the Banco Central do Brasil, the BIS, and the filings of Mastercard, American Express, PayPal, Adyen and Fiserv.</w:t>
      </w:r>
    </w:p>
    <w:p>
      <w:pPr>
        <w:spacing w:after="140" w:line="264"/>
      </w:pPr>
      <w:r>
        <w:rPr>
          <w:rFonts w:ascii="Arial" w:cs="Arial" w:eastAsia="Arial" w:hAnsi="Arial"/>
          <w:sz w:val="20"/>
          <w:szCs w:val="20"/>
        </w:rPr>
        <w:t xml:space="preserve">Company facts are taken from Visa's filings. Industry structure is taken from outside sources and, where the two disagree, the disagreement is stated.</w:t>
      </w:r>
    </w:p>
    <w:p>
      <w:pPr>
        <w:spacing w:after="140" w:line="264"/>
      </w:pPr>
      <w:r>
        <w:rPr>
          <w:rFonts w:ascii="Arial" w:cs="Arial" w:eastAsia="Arial" w:hAnsi="Arial"/>
          <w:i/>
          <w:iCs/>
          <w:sz w:val="20"/>
          <w:szCs w:val="20"/>
        </w:rPr>
        <w:t xml:space="preserve">This is not a valuation and not a recommendation. It contains no price, multiple or target.</w:t>
      </w:r>
    </w:p>
    <w:p>
      <w:r>
        <w:br w:type="page"/>
      </w:r>
    </w:p>
    <w:p>
      <w:pPr>
        <w:pStyle w:val="Heading1"/>
        <w:spacing w:after="200" w:before="360"/>
      </w:pPr>
      <w:r>
        <w:rPr>
          <w:rFonts w:ascii="Arial" w:cs="Arial" w:eastAsia="Arial" w:hAnsi="Arial"/>
          <w:b/>
          <w:bCs/>
          <w:color w:val="1F3864"/>
          <w:sz w:val="32"/>
          <w:szCs w:val="32"/>
        </w:rPr>
        <w:t xml:space="preserve">1. Executive Snapshot</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1700"/>
        <w:gridCol w:w="7660"/>
      </w:tblGrid>
      <w:tr>
        <w:trPr>
          <w:cantSplit/>
          <w:tblHeader w:val="false"/>
        </w:trPr>
        <w:tc>
          <w:tcPr>
            <w:tcW w:type="dxa" w:w="1700"/>
            <w:tcMar>
              <w:top w:type="dxa" w:w="80"/>
              <w:left w:type="dxa" w:w="120"/>
              <w:bottom w:type="dxa" w:w="80"/>
              <w:right w:type="dxa" w:w="120"/>
            </w:tcMar>
          </w:tcPr>
          <w:p>
            <w:pPr>
              <w:spacing w:after="0" w:before="0" w:line="240"/>
              <w:jc w:val="left"/>
            </w:pPr>
            <w:r>
              <w:rPr>
                <w:rFonts w:ascii="Arial" w:cs="Arial" w:eastAsia="Arial" w:hAnsi="Arial"/>
                <w:b/>
                <w:bCs/>
                <w:sz w:val="20"/>
                <w:szCs w:val="20"/>
              </w:rPr>
              <w:t xml:space="preserve">What the business is</w:t>
            </w:r>
          </w:p>
        </w:tc>
        <w:tc>
          <w:tcPr>
            <w:tcW w:type="dxa" w:w="7660"/>
            <w:tcMar>
              <w:top w:type="dxa" w:w="80"/>
              <w:left w:type="dxa" w:w="120"/>
              <w:bottom w:type="dxa" w:w="80"/>
              <w:right w:type="dxa" w:w="120"/>
            </w:tcMar>
          </w:tcPr>
          <w:p>
            <w:pPr>
              <w:spacing w:after="0" w:before="0" w:line="240"/>
              <w:jc w:val="left"/>
            </w:pPr>
            <w:r>
              <w:rPr>
                <w:rFonts w:ascii="Arial" w:cs="Arial" w:eastAsia="Arial" w:hAnsi="Arial"/>
                <w:b w:val="false"/>
                <w:bCs w:val="false"/>
                <w:sz w:val="20"/>
                <w:szCs w:val="20"/>
              </w:rPr>
              <w:t xml:space="preserve">A four-party payment network. Visa sets the rules, operates the switch, and is paid a toll by both the issuing bank and the acquiring bank on transactions it authorises, clears and settles. It does not lend, does not carry the receivable, and does not take credit risk.</w:t>
            </w:r>
          </w:p>
        </w:tc>
      </w:tr>
      <w:tr>
        <w:trPr>
          <w:cantSplit/>
          <w:tblHeader w:val="false"/>
        </w:trPr>
        <w:tc>
          <w:tcPr>
            <w:tcW w:type="dxa" w:w="1700"/>
            <w:shd w:fill="F4F6FA" w:color="auto" w:val="clear"/>
            <w:tcMar>
              <w:top w:type="dxa" w:w="80"/>
              <w:left w:type="dxa" w:w="120"/>
              <w:bottom w:type="dxa" w:w="80"/>
              <w:right w:type="dxa" w:w="120"/>
            </w:tcMar>
          </w:tcPr>
          <w:p>
            <w:pPr>
              <w:spacing w:after="0" w:before="0" w:line="240"/>
              <w:jc w:val="left"/>
            </w:pPr>
            <w:r>
              <w:rPr>
                <w:rFonts w:ascii="Arial" w:cs="Arial" w:eastAsia="Arial" w:hAnsi="Arial"/>
                <w:b/>
                <w:bCs/>
                <w:sz w:val="20"/>
                <w:szCs w:val="20"/>
              </w:rPr>
              <w:t xml:space="preserve">Industry</w:t>
            </w:r>
          </w:p>
        </w:tc>
        <w:tc>
          <w:tcPr>
            <w:tcW w:type="dxa" w:w="7660"/>
            <w:shd w:fill="F4F6FA" w:color="auto" w:val="clear"/>
            <w:tcMar>
              <w:top w:type="dxa" w:w="80"/>
              <w:left w:type="dxa" w:w="120"/>
              <w:bottom w:type="dxa" w:w="80"/>
              <w:right w:type="dxa" w:w="120"/>
            </w:tcMar>
          </w:tcPr>
          <w:p>
            <w:pPr>
              <w:spacing w:after="0" w:before="0" w:line="240"/>
              <w:jc w:val="left"/>
            </w:pPr>
            <w:r>
              <w:rPr>
                <w:rFonts w:ascii="Arial" w:cs="Arial" w:eastAsia="Arial" w:hAnsi="Arial"/>
                <w:b w:val="false"/>
                <w:bCs w:val="false"/>
                <w:sz w:val="20"/>
                <w:szCs w:val="20"/>
              </w:rPr>
              <w:t xml:space="preserve">Global card schemes and payment network services. Visa and Mastercard have together carried roughly 95% of global card transactions for a decade (BIS Bulletin 127).</w:t>
            </w:r>
          </w:p>
        </w:tc>
      </w:tr>
      <w:tr>
        <w:trPr>
          <w:cantSplit/>
          <w:tblHeader w:val="false"/>
        </w:trPr>
        <w:tc>
          <w:tcPr>
            <w:tcW w:type="dxa" w:w="1700"/>
            <w:tcMar>
              <w:top w:type="dxa" w:w="80"/>
              <w:left w:type="dxa" w:w="120"/>
              <w:bottom w:type="dxa" w:w="80"/>
              <w:right w:type="dxa" w:w="120"/>
            </w:tcMar>
          </w:tcPr>
          <w:p>
            <w:pPr>
              <w:spacing w:after="0" w:before="0" w:line="240"/>
              <w:jc w:val="left"/>
            </w:pPr>
            <w:r>
              <w:rPr>
                <w:rFonts w:ascii="Arial" w:cs="Arial" w:eastAsia="Arial" w:hAnsi="Arial"/>
                <w:b/>
                <w:bCs/>
                <w:sz w:val="20"/>
                <w:szCs w:val="20"/>
              </w:rPr>
              <w:t xml:space="preserve">How it makes money</w:t>
            </w:r>
          </w:p>
        </w:tc>
        <w:tc>
          <w:tcPr>
            <w:tcW w:type="dxa" w:w="7660"/>
            <w:tcMar>
              <w:top w:type="dxa" w:w="80"/>
              <w:left w:type="dxa" w:w="120"/>
              <w:bottom w:type="dxa" w:w="80"/>
              <w:right w:type="dxa" w:w="120"/>
            </w:tcMar>
          </w:tcPr>
          <w:p>
            <w:pPr>
              <w:spacing w:after="0" w:before="0" w:line="240"/>
              <w:jc w:val="left"/>
            </w:pPr>
            <w:r>
              <w:rPr>
                <w:rFonts w:ascii="Arial" w:cs="Arial" w:eastAsia="Arial" w:hAnsi="Arial"/>
                <w:b w:val="false"/>
                <w:bCs w:val="false"/>
                <w:sz w:val="20"/>
                <w:szCs w:val="20"/>
              </w:rPr>
              <w:t xml:space="preserve">It charges service fees on the payments volume carried on Visa credentials, data processing fees per transaction switched, and a higher-yielding fee on cross-border transactions and the currency conversion inside them — then returns roughly 28% of that gross revenue to banks and merchants as client incentives.</w:t>
            </w:r>
          </w:p>
        </w:tc>
      </w:tr>
      <w:tr>
        <w:trPr>
          <w:cantSplit/>
          <w:tblHeader w:val="false"/>
        </w:trPr>
        <w:tc>
          <w:tcPr>
            <w:tcW w:type="dxa" w:w="1700"/>
            <w:shd w:fill="F4F6FA" w:color="auto" w:val="clear"/>
            <w:tcMar>
              <w:top w:type="dxa" w:w="80"/>
              <w:left w:type="dxa" w:w="120"/>
              <w:bottom w:type="dxa" w:w="80"/>
              <w:right w:type="dxa" w:w="120"/>
            </w:tcMar>
          </w:tcPr>
          <w:p>
            <w:pPr>
              <w:spacing w:after="0" w:before="0" w:line="240"/>
              <w:jc w:val="left"/>
            </w:pPr>
            <w:r>
              <w:rPr>
                <w:rFonts w:ascii="Arial" w:cs="Arial" w:eastAsia="Arial" w:hAnsi="Arial"/>
                <w:b/>
                <w:bCs/>
                <w:sz w:val="20"/>
                <w:szCs w:val="20"/>
              </w:rPr>
              <w:t xml:space="preserve">The unit, and what it earns</w:t>
            </w:r>
          </w:p>
        </w:tc>
        <w:tc>
          <w:tcPr>
            <w:tcW w:type="dxa" w:w="7660"/>
            <w:shd w:fill="F4F6FA" w:color="auto" w:val="clear"/>
            <w:tcMar>
              <w:top w:type="dxa" w:w="80"/>
              <w:left w:type="dxa" w:w="120"/>
              <w:bottom w:type="dxa" w:w="80"/>
              <w:right w:type="dxa" w:w="120"/>
            </w:tcMar>
          </w:tcPr>
          <w:p>
            <w:pPr>
              <w:spacing w:after="0" w:before="0" w:line="240"/>
              <w:jc w:val="left"/>
            </w:pPr>
            <w:r>
              <w:rPr>
                <w:rFonts w:ascii="Arial" w:cs="Arial" w:eastAsia="Arial" w:hAnsi="Arial"/>
                <w:b w:val="false"/>
                <w:bCs w:val="false"/>
                <w:sz w:val="20"/>
                <w:szCs w:val="20"/>
              </w:rPr>
              <w:t xml:space="preserve">One processed transaction. Visa processed 257,545 million in FY2025 and earned $0.155 of net revenue on each (FY2025 10-K; ratio inferred). Equivalently, 0.288% of the $13.9 trillion of nominal payments volume it carried.</w:t>
            </w:r>
          </w:p>
        </w:tc>
      </w:tr>
      <w:tr>
        <w:trPr>
          <w:cantSplit/>
          <w:tblHeader w:val="false"/>
        </w:trPr>
        <w:tc>
          <w:tcPr>
            <w:tcW w:type="dxa" w:w="1700"/>
            <w:tcMar>
              <w:top w:type="dxa" w:w="80"/>
              <w:left w:type="dxa" w:w="120"/>
              <w:bottom w:type="dxa" w:w="80"/>
              <w:right w:type="dxa" w:w="120"/>
            </w:tcMar>
          </w:tcPr>
          <w:p>
            <w:pPr>
              <w:spacing w:after="0" w:before="0" w:line="240"/>
              <w:jc w:val="left"/>
            </w:pPr>
            <w:r>
              <w:rPr>
                <w:rFonts w:ascii="Arial" w:cs="Arial" w:eastAsia="Arial" w:hAnsi="Arial"/>
                <w:b/>
                <w:bCs/>
                <w:sz w:val="20"/>
                <w:szCs w:val="20"/>
              </w:rPr>
              <w:t xml:space="preserve">What protects it</w:t>
            </w:r>
          </w:p>
        </w:tc>
        <w:tc>
          <w:tcPr>
            <w:tcW w:type="dxa" w:w="7660"/>
            <w:tcMar>
              <w:top w:type="dxa" w:w="80"/>
              <w:left w:type="dxa" w:w="120"/>
              <w:bottom w:type="dxa" w:w="80"/>
              <w:right w:type="dxa" w:w="120"/>
            </w:tcMar>
          </w:tcPr>
          <w:p>
            <w:pPr>
              <w:spacing w:after="0" w:before="0" w:line="240"/>
              <w:jc w:val="left"/>
            </w:pPr>
            <w:r>
              <w:rPr>
                <w:rFonts w:ascii="Arial" w:cs="Arial" w:eastAsia="Arial" w:hAnsi="Arial"/>
                <w:b w:val="false"/>
                <w:bCs w:val="false"/>
                <w:sz w:val="20"/>
                <w:szCs w:val="20"/>
              </w:rPr>
              <w:t xml:space="preserve">Two-sided scale that no entrant can assemble incrementally: ~12 billion endpoints against more than 175 million merchant locations. Reinforced by the fact that every regulator to date has capped interchange — the issuer's cut — and none has capped network fees.</w:t>
            </w:r>
          </w:p>
        </w:tc>
      </w:tr>
      <w:tr>
        <w:trPr>
          <w:cantSplit/>
          <w:tblHeader w:val="false"/>
        </w:trPr>
        <w:tc>
          <w:tcPr>
            <w:tcW w:type="dxa" w:w="1700"/>
            <w:shd w:fill="F4F6FA" w:color="auto" w:val="clear"/>
            <w:tcMar>
              <w:top w:type="dxa" w:w="80"/>
              <w:left w:type="dxa" w:w="120"/>
              <w:bottom w:type="dxa" w:w="80"/>
              <w:right w:type="dxa" w:w="120"/>
            </w:tcMar>
          </w:tcPr>
          <w:p>
            <w:pPr>
              <w:spacing w:after="0" w:before="0" w:line="240"/>
              <w:jc w:val="left"/>
            </w:pPr>
            <w:r>
              <w:rPr>
                <w:rFonts w:ascii="Arial" w:cs="Arial" w:eastAsia="Arial" w:hAnsi="Arial"/>
                <w:b/>
                <w:bCs/>
                <w:sz w:val="20"/>
                <w:szCs w:val="20"/>
              </w:rPr>
              <w:t xml:space="preserve">What drives earnings</w:t>
            </w:r>
          </w:p>
        </w:tc>
        <w:tc>
          <w:tcPr>
            <w:tcW w:type="dxa" w:w="7660"/>
            <w:shd w:fill="F4F6FA" w:color="auto" w:val="clear"/>
            <w:tcMar>
              <w:top w:type="dxa" w:w="80"/>
              <w:left w:type="dxa" w:w="120"/>
              <w:bottom w:type="dxa" w:w="80"/>
              <w:right w:type="dxa" w:w="120"/>
            </w:tcMar>
          </w:tcPr>
          <w:p>
            <w:pPr>
              <w:spacing w:after="0" w:before="0" w:line="240"/>
              <w:jc w:val="left"/>
            </w:pPr>
            <w:r>
              <w:rPr>
                <w:rFonts w:ascii="Arial" w:cs="Arial" w:eastAsia="Arial" w:hAnsi="Arial"/>
                <w:b w:val="false"/>
                <w:bCs w:val="false"/>
                <w:sz w:val="20"/>
                <w:szCs w:val="20"/>
              </w:rPr>
              <w:t xml:space="preserve">Nominal payments volume, processed transaction count, cross-border volume, and the pace at which value-added services (30% of last-twelve-months net revenue) are attached to the same transactions.</w:t>
            </w:r>
          </w:p>
        </w:tc>
      </w:tr>
      <w:tr>
        <w:trPr>
          <w:cantSplit/>
          <w:tblHeader w:val="false"/>
        </w:trPr>
        <w:tc>
          <w:tcPr>
            <w:tcW w:type="dxa" w:w="1700"/>
            <w:tcMar>
              <w:top w:type="dxa" w:w="80"/>
              <w:left w:type="dxa" w:w="120"/>
              <w:bottom w:type="dxa" w:w="80"/>
              <w:right w:type="dxa" w:w="120"/>
            </w:tcMar>
          </w:tcPr>
          <w:p>
            <w:pPr>
              <w:spacing w:after="0" w:before="0" w:line="240"/>
              <w:jc w:val="left"/>
            </w:pPr>
            <w:r>
              <w:rPr>
                <w:rFonts w:ascii="Arial" w:cs="Arial" w:eastAsia="Arial" w:hAnsi="Arial"/>
                <w:b/>
                <w:bCs/>
                <w:sz w:val="20"/>
                <w:szCs w:val="20"/>
              </w:rPr>
              <w:t xml:space="preserve">What to watch</w:t>
            </w:r>
          </w:p>
        </w:tc>
        <w:tc>
          <w:tcPr>
            <w:tcW w:type="dxa" w:w="7660"/>
            <w:tcMar>
              <w:top w:type="dxa" w:w="80"/>
              <w:left w:type="dxa" w:w="120"/>
              <w:bottom w:type="dxa" w:w="80"/>
              <w:right w:type="dxa" w:w="120"/>
            </w:tcMar>
          </w:tcPr>
          <w:p>
            <w:pPr>
              <w:spacing w:after="0" w:before="0" w:line="240"/>
              <w:jc w:val="left"/>
            </w:pPr>
            <w:r>
              <w:rPr>
                <w:rFonts w:ascii="Arial" w:cs="Arial" w:eastAsia="Arial" w:hAnsi="Arial"/>
                <w:b w:val="false"/>
                <w:bCs w:val="false"/>
                <w:sz w:val="20"/>
                <w:szCs w:val="20"/>
              </w:rPr>
              <w:t xml:space="preserve">US debit routing under Regulation II and the DOJ monopolisation case; client incentives as a share of gross revenue; whether the Reserve Bank of Australia and UK Payment Systems Regulator escalate from scheme-fee transparency to scheme-fee price caps.</w:t>
            </w:r>
          </w:p>
        </w:tc>
      </w:tr>
      <w:tr>
        <w:trPr>
          <w:cantSplit/>
          <w:tblHeader w:val="false"/>
        </w:trPr>
        <w:tc>
          <w:tcPr>
            <w:tcW w:type="dxa" w:w="1700"/>
            <w:shd w:fill="F4F6FA" w:color="auto" w:val="clear"/>
            <w:tcMar>
              <w:top w:type="dxa" w:w="80"/>
              <w:left w:type="dxa" w:w="120"/>
              <w:bottom w:type="dxa" w:w="80"/>
              <w:right w:type="dxa" w:w="120"/>
            </w:tcMar>
          </w:tcPr>
          <w:p>
            <w:pPr>
              <w:spacing w:after="0" w:before="0" w:line="240"/>
              <w:jc w:val="left"/>
            </w:pPr>
            <w:r>
              <w:rPr>
                <w:rFonts w:ascii="Arial" w:cs="Arial" w:eastAsia="Arial" w:hAnsi="Arial"/>
                <w:b/>
                <w:bCs/>
                <w:sz w:val="20"/>
                <w:szCs w:val="20"/>
              </w:rPr>
              <w:t xml:space="preserve">Cycle exposure</w:t>
            </w:r>
          </w:p>
        </w:tc>
        <w:tc>
          <w:tcPr>
            <w:tcW w:type="dxa" w:w="7660"/>
            <w:shd w:fill="F4F6FA" w:color="auto" w:val="clear"/>
            <w:tcMar>
              <w:top w:type="dxa" w:w="80"/>
              <w:left w:type="dxa" w:w="120"/>
              <w:bottom w:type="dxa" w:w="80"/>
              <w:right w:type="dxa" w:w="120"/>
            </w:tcMar>
          </w:tcPr>
          <w:p>
            <w:pPr>
              <w:spacing w:after="0" w:before="0" w:line="240"/>
              <w:jc w:val="left"/>
            </w:pPr>
            <w:r>
              <w:rPr>
                <w:rFonts w:ascii="Arial" w:cs="Arial" w:eastAsia="Arial" w:hAnsi="Arial"/>
                <w:b w:val="false"/>
                <w:bCs w:val="false"/>
                <w:sz w:val="20"/>
                <w:szCs w:val="20"/>
              </w:rPr>
              <w:t xml:space="preserve">Low on domestic volume, high on cross-border. Payments volume grew 1% through the pandemic year while cross-border revenue fell 19% (FY2020 10-K).</w:t>
            </w:r>
          </w:p>
        </w:tc>
      </w:tr>
    </w:tbl>
    <w:p>
      <w:pPr>
        <w:spacing w:after="220" w:before="60"/>
      </w:pPr>
      <w:r>
        <w:rPr>
          <w:rFonts w:ascii="Arial" w:cs="Arial" w:eastAsia="Arial" w:hAnsi="Arial"/>
          <w:i/>
          <w:iCs/>
          <w:color w:val="5A5A5A"/>
          <w:sz w:val="17"/>
          <w:szCs w:val="17"/>
        </w:rPr>
        <w:t xml:space="preserve">Sources named inline. "Inferred" marks a figure computed from disclosed figures, never an estimate.</w:t>
      </w:r>
    </w:p>
    <w:p>
      <w:r>
        <w:br w:type="page"/>
      </w:r>
    </w:p>
    <w:p>
      <w:pPr>
        <w:pStyle w:val="Heading1"/>
        <w:spacing w:after="200" w:before="360"/>
      </w:pPr>
      <w:r>
        <w:rPr>
          <w:rFonts w:ascii="Arial" w:cs="Arial" w:eastAsia="Arial" w:hAnsi="Arial"/>
          <w:b/>
          <w:bCs/>
          <w:color w:val="1F3864"/>
          <w:sz w:val="32"/>
          <w:szCs w:val="32"/>
        </w:rPr>
        <w:t xml:space="preserve">2. What the Company Does</w:t>
      </w:r>
    </w:p>
    <w:p>
      <w:pPr>
        <w:spacing w:after="140" w:line="264"/>
      </w:pPr>
      <w:r>
        <w:rPr>
          <w:rFonts w:ascii="Arial" w:cs="Arial" w:eastAsia="Arial" w:hAnsi="Arial"/>
          <w:sz w:val="22"/>
          <w:szCs w:val="22"/>
        </w:rPr>
        <w:t xml:space="preserve">The problem Visa solves is trust between strangers who will never meet. A merchant in Lisbon has no way to know whether a card presented by a visitor from Seoul is good for the money, and no practical way to collect if it is not. Visa's answer is a set of rules that every participating bank agrees to in advance, plus a switch that carries the authorisation request to the issuing bank and back in under a second, plus a settlement guarantee that pays the merchant even where the issuer subsequently fails. What is actually sold is not technology. It is the certainty that the payment will complete.</w:t>
      </w:r>
    </w:p>
    <w:p>
      <w:pPr>
        <w:spacing w:after="140" w:line="264"/>
      </w:pPr>
      <w:r>
        <w:rPr>
          <w:rFonts w:ascii="Arial" w:cs="Arial" w:eastAsia="Arial" w:hAnsi="Arial"/>
          <w:sz w:val="22"/>
          <w:szCs w:val="22"/>
        </w:rPr>
        <w:t xml:space="preserve">The structure that delivers this is the four-party model, and its shape determines everything about the economics. The cardholder pays the merchant the full amount. The merchant's acquiring bank credits the merchant that amount less a merchant discount rate. Out of the merchant discount rate, the acquirer remits interchange to the card-issuing bank and network fees to Visa; the issuer separately pays Visa its own network fees out of the interchange it received. Visa is therefore paid by both sides of its own platform, and it is paid on a transaction it neither funded nor underwrote.</w:t>
      </w:r>
    </w:p>
    <w:p>
      <w:pPr>
        <w:pStyle w:val="Heading2"/>
        <w:spacing w:after="180" w:before="180"/>
      </w:pPr>
      <w:r>
        <w:rPr>
          <w:rFonts w:ascii="Arial" w:cs="Arial" w:eastAsia="Arial" w:hAnsi="Arial"/>
          <w:b/>
          <w:bCs/>
          <w:color w:val="1F3864"/>
          <w:sz w:val="28"/>
          <w:szCs w:val="28"/>
        </w:rPr>
        <w:t xml:space="preserve">The unit: one processed transaction</w:t>
      </w:r>
    </w:p>
    <w:p>
      <w:pPr>
        <w:spacing w:after="140" w:line="264"/>
      </w:pPr>
      <w:r>
        <w:rPr>
          <w:rFonts w:ascii="Arial" w:cs="Arial" w:eastAsia="Arial" w:hAnsi="Arial"/>
          <w:sz w:val="22"/>
          <w:szCs w:val="22"/>
        </w:rPr>
        <w:t xml:space="preserve">Visa discloses two units and they answer different questions. The count unit is one processed transaction — 257,545 million of them in FY2025, up 10% (FY2025 10-K). The value unit is one dollar of nominal payments volume — $13.9 trillion in the twelve months to 30 June 2025. Net revenue of $40.0 billion works out to $0.155 per processed transaction, or 0.288% of payments volume (both inferred). Neither number is large. Both are earned on volume that arrives without Visa selling anything.</w:t>
      </w:r>
    </w:p>
    <w:p>
      <w:pPr>
        <w:spacing w:after="140" w:line="264"/>
      </w:pPr>
      <w:r>
        <w:rPr>
          <w:rFonts w:ascii="Arial" w:cs="Arial" w:eastAsia="Arial" w:hAnsi="Arial"/>
          <w:sz w:val="22"/>
          <w:szCs w:val="22"/>
        </w:rPr>
        <w:t xml:space="preserve">Follow one transaction. A cardholder taps at a terminal. The acquirer routes the authorisation to VisaNet, which checks the issuer's rules, applies Visa's own risk scoring, and returns an approval. Visa earns a data processing fee on that switch, from both the acquirer and the issuer, recognised in the period the transaction occurs. Separately, Visa earns a service fee assessed on the payments volume carried on Visa credentials — a fee billed in arrears, which is why service revenue reported for a given quarter is calculated on the prior quarter's volume (FY2025 10-K). If the cardholder's issuer sits in a different country from the merchant, the same transaction also generates international transaction revenue, which covers cross-border processing and the currency conversion inside it. Clearing and settlement follow within days; Visa moves the funds between banks but never owns them.</w:t>
      </w:r>
    </w:p>
    <w:p>
      <w:pPr>
        <w:pStyle w:val="Heading2"/>
        <w:spacing w:after="180" w:before="180"/>
      </w:pPr>
      <w:r>
        <w:rPr>
          <w:rFonts w:ascii="Arial" w:cs="Arial" w:eastAsia="Arial" w:hAnsi="Arial"/>
          <w:b/>
          <w:bCs/>
          <w:color w:val="1F3864"/>
          <w:sz w:val="28"/>
          <w:szCs w:val="28"/>
        </w:rPr>
        <w:t xml:space="preserve">The four revenue lines, and the discount taken off them</w:t>
      </w:r>
    </w:p>
    <w:p>
      <w:pPr>
        <w:spacing w:after="140" w:line="264"/>
      </w:pPr>
      <w:r>
        <w:rPr>
          <w:rFonts w:ascii="Arial" w:cs="Arial" w:eastAsia="Arial" w:hAnsi="Arial"/>
          <w:sz w:val="22"/>
          <w:szCs w:val="22"/>
        </w:rPr>
        <w:t xml:space="preserve">Visa's gross revenue in FY2025 was $55.8 billion across four lines: data processing $20.0 billion, service $17.5 billion, international transaction $14.2 billion and other $4.1 billion. From this, $15.8 billion was deducted as client incentives, leaving net revenue of $40.0 billion (FY2025 10-K). The deduction is not a marketing expense in disguise; it is the price. Visa contracts with large issuers and merchants for multi-year commitments, and the incentive is what it pays to win and keep the credential on the card and the routing on the network.</w:t>
      </w:r>
    </w:p>
    <w:p>
      <w:pPr>
        <w:spacing w:after="140" w:line="264"/>
      </w:pPr>
      <w:r>
        <w:rPr>
          <w:rFonts w:ascii="Arial" w:cs="Arial" w:eastAsia="Arial" w:hAnsi="Arial"/>
          <w:sz w:val="22"/>
          <w:szCs w:val="22"/>
        </w:rPr>
        <w:t xml:space="preserve">International transaction revenue is the line that most changes the character of the business. It was $14.2 billion of the $55.8 billion gross, roughly a quarter, on a volume base far smaller than domestic. Cross-border transactions carry a materially higher yield because Visa is paid for the currency conversion as well as the switch, and because the alternative rails that exist domestically largely do not exist across borders. This is the high-margin leg, and Section 6 shows it is also the cyclical one.</w:t>
      </w:r>
    </w:p>
    <w:p>
      <w:pPr>
        <w:pStyle w:val="Heading2"/>
        <w:spacing w:after="180" w:before="180"/>
      </w:pPr>
      <w:r>
        <w:rPr>
          <w:rFonts w:ascii="Arial" w:cs="Arial" w:eastAsia="Arial" w:hAnsi="Arial"/>
          <w:b/>
          <w:bCs/>
          <w:color w:val="1F3864"/>
          <w:sz w:val="28"/>
          <w:szCs w:val="28"/>
        </w:rPr>
        <w:t xml:space="preserve">What has been added to the same transaction</w:t>
      </w:r>
    </w:p>
    <w:p>
      <w:pPr>
        <w:spacing w:after="140" w:line="264"/>
      </w:pPr>
      <w:r>
        <w:rPr>
          <w:rFonts w:ascii="Arial" w:cs="Arial" w:eastAsia="Arial" w:hAnsi="Arial"/>
          <w:sz w:val="22"/>
          <w:szCs w:val="22"/>
        </w:rPr>
        <w:t xml:space="preserve">The material change to the business model over the last decade is that Visa has stopped selling only the switch. Value-added services — issuing solutions, acceptance solutions, risk and fraud tooling, advisory and marketing — generated $10.9 billion in FY2025, up 24%, and $3.8 billion in the June 2026 quarter alone, up 33% (FY2025 10-K; FY2026 Q3 10-Q). On a last-twelve-months basis that is roughly 30% of net revenue, against 22% in FY2023 (inferred). These services are sold to the same banks and merchants, on the same transactions, through the same contracts. They require no additional volume to grow, and no regulator anywhere has capped their price.</w:t>
      </w:r>
    </w:p>
    <w:p>
      <w:pPr>
        <w:spacing w:after="140" w:line="264"/>
      </w:pPr>
      <w:r>
        <w:rPr>
          <w:rFonts w:ascii="Arial" w:cs="Arial" w:eastAsia="Arial" w:hAnsi="Arial"/>
          <w:sz w:val="22"/>
          <w:szCs w:val="22"/>
        </w:rPr>
        <w:t xml:space="preserve">Visa Direct is the second addition and it points the other way — outward, to transactions that are not card purchases. It moves money to approximately 12 billion endpoints across more than 195 countries, using over 90 domestic payment schemes and more than 60 card and wallet networks, and it processed more than 12.5 billion transactions for over 650 partners in FY2025 (FY2025 10-K). Its strategic significance is that it puts Visa on rails it does not own, including the account-to-account rails discussed in Section 3, which converts a substitution threat into a distribution channel. Visa does not disclose Visa Direct revenue separately (NOT FOUND).</w:t>
      </w:r>
    </w:p>
    <w:p>
      <w:pPr>
        <w:spacing w:after="140" w:line="264"/>
      </w:pPr>
      <w:r>
        <w:rPr>
          <w:rFonts w:ascii="Arial" w:cs="Arial" w:eastAsia="Arial" w:hAnsi="Arial"/>
          <w:sz w:val="22"/>
          <w:szCs w:val="22"/>
        </w:rPr>
        <w:t xml:space="preserve">One product line has moved the other way. In February 2026 Visa acquired Prisma Medios de Pago and Newpay in Argentina for $1.5 billion in cash (FY2026 Q3 10-Q). Prisma is an acquirer and processor — a position below Visa in the value chain, where, as Section 3 shows, margins are roughly half those of the network. Visa has not disclosed what it contributes, and the strategic logic is not stated in the filings (inferred as a market-access move; marked unknown).</w:t>
      </w:r>
    </w:p>
    <w:p>
      <w:r>
        <w:br w:type="page"/>
      </w:r>
    </w:p>
    <w:p>
      <w:pPr>
        <w:pStyle w:val="Heading1"/>
        <w:spacing w:after="200" w:before="360"/>
      </w:pPr>
      <w:r>
        <w:rPr>
          <w:rFonts w:ascii="Arial" w:cs="Arial" w:eastAsia="Arial" w:hAnsi="Arial"/>
          <w:b/>
          <w:bCs/>
          <w:color w:val="1F3864"/>
          <w:sz w:val="32"/>
          <w:szCs w:val="32"/>
        </w:rPr>
        <w:t xml:space="preserve">3. Industry, Competitive Position and Moat</w:t>
      </w:r>
    </w:p>
    <w:p>
      <w:pPr>
        <w:spacing w:after="140" w:line="264"/>
      </w:pPr>
      <w:r>
        <w:rPr>
          <w:rFonts w:ascii="Arial" w:cs="Arial" w:eastAsia="Arial" w:hAnsi="Arial"/>
          <w:sz w:val="22"/>
          <w:szCs w:val="22"/>
        </w:rPr>
        <w:t xml:space="preserve">The card network industry exists because bilateral trust does not scale. Without a scheme, every issuing bank would have to contract with every acquiring bank in every country, and the number of agreements grows as the square of the participants. A scheme replaces that with one rulebook and one switch. The consequence is that the industry is structurally a two-sided platform, and two-sided platforms consolidate: the value of joining rises with the number already joined, so share, once won, is very difficult to move.</w:t>
      </w:r>
    </w:p>
    <w:p>
      <w:pPr>
        <w:spacing w:after="140" w:line="264"/>
      </w:pPr>
      <w:r>
        <w:rPr>
          <w:rFonts w:ascii="Arial" w:cs="Arial" w:eastAsia="Arial" w:hAnsi="Arial"/>
          <w:sz w:val="22"/>
          <w:szCs w:val="22"/>
        </w:rPr>
        <w:t xml:space="preserve">The outside evidence confirms this has held. The BIS finds the combined global share of Visa and Mastercard in card transactions has been stable at approximately 95% for a decade, and that their revenues and margins grew through 2024 despite the proliferation of payment apps (BIS Bulletin 127). In the United Kingdom, the Payment Systems Regulator finds the two carry more than 95% of transactions on UK-issued cards (PSR MR22/1.10 Final Report, March 2025).</w:t>
      </w:r>
    </w:p>
    <w:p>
      <w:pPr>
        <w:pStyle w:val="Heading2"/>
        <w:spacing w:after="180" w:before="180"/>
      </w:pPr>
      <w:r>
        <w:rPr>
          <w:rFonts w:ascii="Arial" w:cs="Arial" w:eastAsia="Arial" w:hAnsi="Arial"/>
          <w:b/>
          <w:bCs/>
          <w:color w:val="1F3864"/>
          <w:sz w:val="28"/>
          <w:szCs w:val="28"/>
        </w:rPr>
        <w:t xml:space="preserve">Where the profit pool sits</w:t>
      </w:r>
    </w:p>
    <w:p>
      <w:pPr>
        <w:spacing w:after="140" w:line="264"/>
      </w:pPr>
      <w:r>
        <w:rPr>
          <w:rFonts w:ascii="Arial" w:cs="Arial" w:eastAsia="Arial" w:hAnsi="Arial"/>
          <w:sz w:val="22"/>
          <w:szCs w:val="22"/>
        </w:rPr>
        <w:t xml:space="preserve">The most useful outside evidence is the Federal Reserve's measurement of the US debit chain, because it is the one jurisdiction where a regulator counts every dollar. In calendar 2023, 100.7 billion debit and prepaid transactions moved $4.7 trillion. Issuers received $34.1 billion of interchange, equal to 0.73% of value. The networks received $12.9 billion in network fees, equal to 0.28% of value. Of that combined pool the network keeps roughly 27% and the issuer roughly 73% (inferred from the Fed's 2023 Interchange Fee Revenue report, published December 2025).</w:t>
      </w:r>
    </w:p>
    <w:p>
      <w:pPr>
        <w:spacing w:after="140" w:line="264"/>
      </w:pPr>
      <w:r>
        <w:rPr>
          <w:rFonts w:ascii="Arial" w:cs="Arial" w:eastAsia="Arial" w:hAnsi="Arial"/>
          <w:sz w:val="22"/>
          <w:szCs w:val="22"/>
        </w:rPr>
        <w:t xml:space="preserve">The Reserve Bank of Australia reaches the same shape from a different angle. In FY2024/25 acquirer-side scheme fees averaged 10.5 basis points of transaction value and issuer-side fees 3.3 basis points, giving a total network take of about 13.8 basis points (RBA Conclusions Paper, March 2026; sum inferred). Scheme fees were 21.5% of merchants' total card costs on debit and 14.8% on credit. The RBA's own summary is that scheme fees have grown faster than transaction values in recent years.</w:t>
      </w:r>
    </w:p>
    <w:p>
      <w:pPr>
        <w:spacing w:after="140" w:line="264"/>
      </w:pPr>
      <w:r>
        <w:rPr>
          <w:rFonts w:ascii="Arial" w:cs="Arial" w:eastAsia="Arial" w:hAnsi="Arial"/>
          <w:sz w:val="22"/>
          <w:szCs w:val="22"/>
        </w:rPr>
        <w:t xml:space="preserve">Set against the margins earned at each rung, the pattern is unambiguous.</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2100"/>
        <w:gridCol w:w="2280"/>
        <w:gridCol w:w="2340"/>
        <w:gridCol w:w="2640"/>
      </w:tblGrid>
      <w:tr>
        <w:trPr>
          <w:cantSplit/>
          <w:tblHeader/>
        </w:trPr>
        <w:tc>
          <w:tcPr>
            <w:tcW w:type="dxa" w:w="2100"/>
            <w:shd w:fill="1F3864" w:color="auto" w:val="clear"/>
            <w:tcMar>
              <w:top w:type="dxa" w:w="80"/>
              <w:left w:type="dxa" w:w="120"/>
              <w:bottom w:type="dxa" w:w="80"/>
              <w:right w:type="dxa" w:w="120"/>
            </w:tcMar>
          </w:tcPr>
          <w:p>
            <w:pPr>
              <w:spacing w:after="0" w:before="0" w:line="240"/>
              <w:jc w:val="left"/>
            </w:pPr>
            <w:r>
              <w:rPr>
                <w:rFonts w:ascii="Arial" w:cs="Arial" w:eastAsia="Arial" w:hAnsi="Arial"/>
                <w:b/>
                <w:bCs/>
                <w:color w:val="FFFFFF"/>
                <w:sz w:val="20"/>
                <w:szCs w:val="20"/>
              </w:rPr>
              <w:t xml:space="preserve">Position in the chain</w:t>
            </w:r>
          </w:p>
        </w:tc>
        <w:tc>
          <w:tcPr>
            <w:tcW w:type="dxa" w:w="2280"/>
            <w:shd w:fill="1F3864" w:color="auto" w:val="clear"/>
            <w:tcMar>
              <w:top w:type="dxa" w:w="80"/>
              <w:left w:type="dxa" w:w="120"/>
              <w:bottom w:type="dxa" w:w="80"/>
              <w:right w:type="dxa" w:w="120"/>
            </w:tcMar>
          </w:tcPr>
          <w:p>
            <w:pPr>
              <w:spacing w:after="0" w:before="0" w:line="240"/>
              <w:jc w:val="left"/>
            </w:pPr>
            <w:r>
              <w:rPr>
                <w:rFonts w:ascii="Arial" w:cs="Arial" w:eastAsia="Arial" w:hAnsi="Arial"/>
                <w:b/>
                <w:bCs/>
                <w:color w:val="FFFFFF"/>
                <w:sz w:val="20"/>
                <w:szCs w:val="20"/>
              </w:rPr>
              <w:t xml:space="preserve">Company, fiscal year</w:t>
            </w:r>
          </w:p>
        </w:tc>
        <w:tc>
          <w:tcPr>
            <w:tcW w:type="dxa" w:w="2340"/>
            <w:shd w:fill="1F3864" w:color="auto" w:val="clear"/>
            <w:tcMar>
              <w:top w:type="dxa" w:w="80"/>
              <w:left w:type="dxa" w:w="120"/>
              <w:bottom w:type="dxa" w:w="80"/>
              <w:right w:type="dxa" w:w="120"/>
            </w:tcMar>
          </w:tcPr>
          <w:p>
            <w:pPr>
              <w:spacing w:after="0" w:before="0" w:line="240"/>
              <w:jc w:val="left"/>
            </w:pPr>
            <w:r>
              <w:rPr>
                <w:rFonts w:ascii="Arial" w:cs="Arial" w:eastAsia="Arial" w:hAnsi="Arial"/>
                <w:b/>
                <w:bCs/>
                <w:color w:val="FFFFFF"/>
                <w:sz w:val="20"/>
                <w:szCs w:val="20"/>
              </w:rPr>
              <w:t xml:space="preserve">Take rate on volume</w:t>
            </w:r>
          </w:p>
        </w:tc>
        <w:tc>
          <w:tcPr>
            <w:tcW w:type="dxa" w:w="2640"/>
            <w:shd w:fill="1F3864" w:color="auto" w:val="clear"/>
            <w:tcMar>
              <w:top w:type="dxa" w:w="80"/>
              <w:left w:type="dxa" w:w="120"/>
              <w:bottom w:type="dxa" w:w="80"/>
              <w:right w:type="dxa" w:w="120"/>
            </w:tcMar>
          </w:tcPr>
          <w:p>
            <w:pPr>
              <w:spacing w:after="0" w:before="0" w:line="240"/>
              <w:jc w:val="left"/>
            </w:pPr>
            <w:r>
              <w:rPr>
                <w:rFonts w:ascii="Arial" w:cs="Arial" w:eastAsia="Arial" w:hAnsi="Arial"/>
                <w:b/>
                <w:bCs/>
                <w:color w:val="FFFFFF"/>
                <w:sz w:val="20"/>
                <w:szCs w:val="20"/>
              </w:rPr>
              <w:t xml:space="preserve">Operating margin</w:t>
            </w:r>
          </w:p>
        </w:tc>
      </w:tr>
      <w:tr>
        <w:trPr>
          <w:cantSplit/>
          <w:tblHeader w:val="false"/>
        </w:trPr>
        <w:tc>
          <w:tcPr>
            <w:tcW w:type="dxa" w:w="2100"/>
            <w:tcMar>
              <w:top w:type="dxa" w:w="80"/>
              <w:left w:type="dxa" w:w="120"/>
              <w:bottom w:type="dxa" w:w="80"/>
              <w:right w:type="dxa" w:w="120"/>
            </w:tcMar>
          </w:tcPr>
          <w:p>
            <w:pPr>
              <w:spacing w:after="0" w:before="0" w:line="240"/>
              <w:jc w:val="left"/>
            </w:pPr>
            <w:r>
              <w:rPr>
                <w:rFonts w:ascii="Arial" w:cs="Arial" w:eastAsia="Arial" w:hAnsi="Arial"/>
                <w:b w:val="false"/>
                <w:bCs w:val="false"/>
                <w:sz w:val="20"/>
                <w:szCs w:val="20"/>
              </w:rPr>
              <w:t xml:space="preserve">Network / scheme</w:t>
            </w:r>
          </w:p>
        </w:tc>
        <w:tc>
          <w:tcPr>
            <w:tcW w:type="dxa" w:w="2280"/>
            <w:tcMar>
              <w:top w:type="dxa" w:w="80"/>
              <w:left w:type="dxa" w:w="120"/>
              <w:bottom w:type="dxa" w:w="80"/>
              <w:right w:type="dxa" w:w="120"/>
            </w:tcMar>
          </w:tcPr>
          <w:p>
            <w:pPr>
              <w:spacing w:after="0" w:before="0" w:line="240"/>
              <w:jc w:val="left"/>
            </w:pPr>
            <w:r>
              <w:rPr>
                <w:rFonts w:ascii="Arial" w:cs="Arial" w:eastAsia="Arial" w:hAnsi="Arial"/>
                <w:b w:val="false"/>
                <w:bCs w:val="false"/>
                <w:sz w:val="20"/>
                <w:szCs w:val="20"/>
              </w:rPr>
              <w:t xml:space="preserve">Visa, FY Sep-2025</w:t>
            </w:r>
          </w:p>
        </w:tc>
        <w:tc>
          <w:tcPr>
            <w:tcW w:type="dxa" w:w="2340"/>
            <w:tcMar>
              <w:top w:type="dxa" w:w="80"/>
              <w:left w:type="dxa" w:w="120"/>
              <w:bottom w:type="dxa" w:w="80"/>
              <w:right w:type="dxa" w:w="120"/>
            </w:tcMar>
          </w:tcPr>
          <w:p>
            <w:pPr>
              <w:spacing w:after="0" w:before="0" w:line="240"/>
              <w:jc w:val="right"/>
            </w:pPr>
            <w:r>
              <w:rPr>
                <w:rFonts w:ascii="Arial" w:cs="Arial" w:eastAsia="Arial" w:hAnsi="Arial"/>
                <w:b w:val="false"/>
                <w:bCs w:val="false"/>
                <w:sz w:val="20"/>
                <w:szCs w:val="20"/>
              </w:rPr>
              <w:t xml:space="preserve">0.288% of payments volume</w:t>
            </w:r>
          </w:p>
        </w:tc>
        <w:tc>
          <w:tcPr>
            <w:tcW w:type="dxa" w:w="2640"/>
            <w:tcMar>
              <w:top w:type="dxa" w:w="80"/>
              <w:left w:type="dxa" w:w="120"/>
              <w:bottom w:type="dxa" w:w="80"/>
              <w:right w:type="dxa" w:w="120"/>
            </w:tcMar>
          </w:tcPr>
          <w:p>
            <w:pPr>
              <w:spacing w:after="0" w:before="0" w:line="240"/>
              <w:jc w:val="right"/>
            </w:pPr>
            <w:r>
              <w:rPr>
                <w:rFonts w:ascii="Arial" w:cs="Arial" w:eastAsia="Arial" w:hAnsi="Arial"/>
                <w:b w:val="false"/>
                <w:bCs w:val="false"/>
                <w:sz w:val="20"/>
                <w:szCs w:val="20"/>
              </w:rPr>
              <w:t xml:space="preserve">60.0% (66.4% before litigation provision)</w:t>
            </w:r>
          </w:p>
        </w:tc>
      </w:tr>
      <w:tr>
        <w:trPr>
          <w:cantSplit/>
          <w:tblHeader w:val="false"/>
        </w:trPr>
        <w:tc>
          <w:tcPr>
            <w:tcW w:type="dxa" w:w="2100"/>
            <w:shd w:fill="F4F6FA" w:color="auto" w:val="clear"/>
            <w:tcMar>
              <w:top w:type="dxa" w:w="80"/>
              <w:left w:type="dxa" w:w="120"/>
              <w:bottom w:type="dxa" w:w="80"/>
              <w:right w:type="dxa" w:w="120"/>
            </w:tcMar>
          </w:tcPr>
          <w:p>
            <w:pPr>
              <w:spacing w:after="0" w:before="0" w:line="240"/>
              <w:jc w:val="left"/>
            </w:pPr>
            <w:r>
              <w:rPr>
                <w:rFonts w:ascii="Arial" w:cs="Arial" w:eastAsia="Arial" w:hAnsi="Arial"/>
                <w:b w:val="false"/>
                <w:bCs w:val="false"/>
                <w:sz w:val="20"/>
                <w:szCs w:val="20"/>
              </w:rPr>
              <w:t xml:space="preserve">Network / scheme</w:t>
            </w:r>
          </w:p>
        </w:tc>
        <w:tc>
          <w:tcPr>
            <w:tcW w:type="dxa" w:w="2280"/>
            <w:shd w:fill="F4F6FA" w:color="auto" w:val="clear"/>
            <w:tcMar>
              <w:top w:type="dxa" w:w="80"/>
              <w:left w:type="dxa" w:w="120"/>
              <w:bottom w:type="dxa" w:w="80"/>
              <w:right w:type="dxa" w:w="120"/>
            </w:tcMar>
          </w:tcPr>
          <w:p>
            <w:pPr>
              <w:spacing w:after="0" w:before="0" w:line="240"/>
              <w:jc w:val="left"/>
            </w:pPr>
            <w:r>
              <w:rPr>
                <w:rFonts w:ascii="Arial" w:cs="Arial" w:eastAsia="Arial" w:hAnsi="Arial"/>
                <w:b w:val="false"/>
                <w:bCs w:val="false"/>
                <w:sz w:val="20"/>
                <w:szCs w:val="20"/>
              </w:rPr>
              <w:t xml:space="preserve">Mastercard, CY2025</w:t>
            </w:r>
          </w:p>
        </w:tc>
        <w:tc>
          <w:tcPr>
            <w:tcW w:type="dxa" w:w="2340"/>
            <w:shd w:fill="F4F6FA" w:color="auto" w:val="clear"/>
            <w:tcMar>
              <w:top w:type="dxa" w:w="80"/>
              <w:left w:type="dxa" w:w="120"/>
              <w:bottom w:type="dxa" w:w="80"/>
              <w:right w:type="dxa" w:w="120"/>
            </w:tcMar>
          </w:tcPr>
          <w:p>
            <w:pPr>
              <w:spacing w:after="0" w:before="0" w:line="240"/>
              <w:jc w:val="right"/>
            </w:pPr>
            <w:r>
              <w:rPr>
                <w:rFonts w:ascii="Arial" w:cs="Arial" w:eastAsia="Arial" w:hAnsi="Arial"/>
                <w:b w:val="false"/>
                <w:bCs w:val="false"/>
                <w:sz w:val="20"/>
                <w:szCs w:val="20"/>
              </w:rPr>
              <w:t xml:space="preserve">0.309% of GDV</w:t>
            </w:r>
          </w:p>
        </w:tc>
        <w:tc>
          <w:tcPr>
            <w:tcW w:type="dxa" w:w="2640"/>
            <w:shd w:fill="F4F6FA" w:color="auto" w:val="clear"/>
            <w:tcMar>
              <w:top w:type="dxa" w:w="80"/>
              <w:left w:type="dxa" w:w="120"/>
              <w:bottom w:type="dxa" w:w="80"/>
              <w:right w:type="dxa" w:w="120"/>
            </w:tcMar>
          </w:tcPr>
          <w:p>
            <w:pPr>
              <w:spacing w:after="0" w:before="0" w:line="240"/>
              <w:jc w:val="right"/>
            </w:pPr>
            <w:r>
              <w:rPr>
                <w:rFonts w:ascii="Arial" w:cs="Arial" w:eastAsia="Arial" w:hAnsi="Arial"/>
                <w:b w:val="false"/>
                <w:bCs w:val="false"/>
                <w:sz w:val="20"/>
                <w:szCs w:val="20"/>
              </w:rPr>
              <w:t xml:space="preserve">57.6%</w:t>
            </w:r>
          </w:p>
        </w:tc>
      </w:tr>
      <w:tr>
        <w:trPr>
          <w:cantSplit/>
          <w:tblHeader w:val="false"/>
        </w:trPr>
        <w:tc>
          <w:tcPr>
            <w:tcW w:type="dxa" w:w="2100"/>
            <w:tcMar>
              <w:top w:type="dxa" w:w="80"/>
              <w:left w:type="dxa" w:w="120"/>
              <w:bottom w:type="dxa" w:w="80"/>
              <w:right w:type="dxa" w:w="120"/>
            </w:tcMar>
          </w:tcPr>
          <w:p>
            <w:pPr>
              <w:spacing w:after="0" w:before="0" w:line="240"/>
              <w:jc w:val="left"/>
            </w:pPr>
            <w:r>
              <w:rPr>
                <w:rFonts w:ascii="Arial" w:cs="Arial" w:eastAsia="Arial" w:hAnsi="Arial"/>
                <w:b w:val="false"/>
                <w:bCs w:val="false"/>
                <w:sz w:val="20"/>
                <w:szCs w:val="20"/>
              </w:rPr>
              <w:t xml:space="preserve">Acquiring / PSP at scale</w:t>
            </w:r>
          </w:p>
        </w:tc>
        <w:tc>
          <w:tcPr>
            <w:tcW w:type="dxa" w:w="2280"/>
            <w:tcMar>
              <w:top w:type="dxa" w:w="80"/>
              <w:left w:type="dxa" w:w="120"/>
              <w:bottom w:type="dxa" w:w="80"/>
              <w:right w:type="dxa" w:w="120"/>
            </w:tcMar>
          </w:tcPr>
          <w:p>
            <w:pPr>
              <w:spacing w:after="0" w:before="0" w:line="240"/>
              <w:jc w:val="left"/>
            </w:pPr>
            <w:r>
              <w:rPr>
                <w:rFonts w:ascii="Arial" w:cs="Arial" w:eastAsia="Arial" w:hAnsi="Arial"/>
                <w:b w:val="false"/>
                <w:bCs w:val="false"/>
                <w:sz w:val="20"/>
                <w:szCs w:val="20"/>
              </w:rPr>
              <w:t xml:space="preserve">Adyen, CY2025</w:t>
            </w:r>
          </w:p>
        </w:tc>
        <w:tc>
          <w:tcPr>
            <w:tcW w:type="dxa" w:w="2340"/>
            <w:tcMar>
              <w:top w:type="dxa" w:w="80"/>
              <w:left w:type="dxa" w:w="120"/>
              <w:bottom w:type="dxa" w:w="80"/>
              <w:right w:type="dxa" w:w="120"/>
            </w:tcMar>
          </w:tcPr>
          <w:p>
            <w:pPr>
              <w:spacing w:after="0" w:before="0" w:line="240"/>
              <w:jc w:val="right"/>
            </w:pPr>
            <w:r>
              <w:rPr>
                <w:rFonts w:ascii="Arial" w:cs="Arial" w:eastAsia="Arial" w:hAnsi="Arial"/>
                <w:b w:val="false"/>
                <w:bCs w:val="false"/>
                <w:sz w:val="20"/>
                <w:szCs w:val="20"/>
              </w:rPr>
              <w:t xml:space="preserve">0.170% of processed volume</w:t>
            </w:r>
          </w:p>
        </w:tc>
        <w:tc>
          <w:tcPr>
            <w:tcW w:type="dxa" w:w="2640"/>
            <w:tcMar>
              <w:top w:type="dxa" w:w="80"/>
              <w:left w:type="dxa" w:w="120"/>
              <w:bottom w:type="dxa" w:w="80"/>
              <w:right w:type="dxa" w:w="120"/>
            </w:tcMar>
          </w:tcPr>
          <w:p>
            <w:pPr>
              <w:spacing w:after="0" w:before="0" w:line="240"/>
              <w:jc w:val="right"/>
            </w:pPr>
            <w:r>
              <w:rPr>
                <w:rFonts w:ascii="Arial" w:cs="Arial" w:eastAsia="Arial" w:hAnsi="Arial"/>
                <w:b w:val="false"/>
                <w:bCs w:val="false"/>
                <w:sz w:val="20"/>
                <w:szCs w:val="20"/>
              </w:rPr>
              <w:t xml:space="preserve">53% (EBITDA)</w:t>
            </w:r>
          </w:p>
        </w:tc>
      </w:tr>
      <w:tr>
        <w:trPr>
          <w:cantSplit/>
          <w:tblHeader w:val="false"/>
        </w:trPr>
        <w:tc>
          <w:tcPr>
            <w:tcW w:type="dxa" w:w="2100"/>
            <w:shd w:fill="F4F6FA" w:color="auto" w:val="clear"/>
            <w:tcMar>
              <w:top w:type="dxa" w:w="80"/>
              <w:left w:type="dxa" w:w="120"/>
              <w:bottom w:type="dxa" w:w="80"/>
              <w:right w:type="dxa" w:w="120"/>
            </w:tcMar>
          </w:tcPr>
          <w:p>
            <w:pPr>
              <w:spacing w:after="0" w:before="0" w:line="240"/>
              <w:jc w:val="left"/>
            </w:pPr>
            <w:r>
              <w:rPr>
                <w:rFonts w:ascii="Arial" w:cs="Arial" w:eastAsia="Arial" w:hAnsi="Arial"/>
                <w:b w:val="false"/>
                <w:bCs w:val="false"/>
                <w:sz w:val="20"/>
                <w:szCs w:val="20"/>
              </w:rPr>
              <w:t xml:space="preserve">Merchant acquirer</w:t>
            </w:r>
          </w:p>
        </w:tc>
        <w:tc>
          <w:tcPr>
            <w:tcW w:type="dxa" w:w="2280"/>
            <w:shd w:fill="F4F6FA" w:color="auto" w:val="clear"/>
            <w:tcMar>
              <w:top w:type="dxa" w:w="80"/>
              <w:left w:type="dxa" w:w="120"/>
              <w:bottom w:type="dxa" w:w="80"/>
              <w:right w:type="dxa" w:w="120"/>
            </w:tcMar>
          </w:tcPr>
          <w:p>
            <w:pPr>
              <w:spacing w:after="0" w:before="0" w:line="240"/>
              <w:jc w:val="left"/>
            </w:pPr>
            <w:r>
              <w:rPr>
                <w:rFonts w:ascii="Arial" w:cs="Arial" w:eastAsia="Arial" w:hAnsi="Arial"/>
                <w:b w:val="false"/>
                <w:bCs w:val="false"/>
                <w:sz w:val="20"/>
                <w:szCs w:val="20"/>
              </w:rPr>
              <w:t xml:space="preserve">Fiserv Merchant Solutions, 9M 2025</w:t>
            </w:r>
          </w:p>
        </w:tc>
        <w:tc>
          <w:tcPr>
            <w:tcW w:type="dxa" w:w="2340"/>
            <w:shd w:fill="F4F6FA" w:color="auto" w:val="clear"/>
            <w:tcMar>
              <w:top w:type="dxa" w:w="80"/>
              <w:left w:type="dxa" w:w="120"/>
              <w:bottom w:type="dxa" w:w="80"/>
              <w:right w:type="dxa" w:w="120"/>
            </w:tcMar>
          </w:tcPr>
          <w:p>
            <w:pPr>
              <w:spacing w:after="0" w:before="0" w:line="240"/>
              <w:jc w:val="left"/>
            </w:pPr>
            <w:r>
              <w:rPr>
                <w:rFonts w:ascii="Arial" w:cs="Arial" w:eastAsia="Arial" w:hAnsi="Arial"/>
                <w:b w:val="false"/>
                <w:bCs w:val="false"/>
                <w:sz w:val="20"/>
                <w:szCs w:val="20"/>
              </w:rPr>
              <w:t xml:space="preserve">not comparable (gross)</w:t>
            </w:r>
          </w:p>
        </w:tc>
        <w:tc>
          <w:tcPr>
            <w:tcW w:type="dxa" w:w="2640"/>
            <w:shd w:fill="F4F6FA" w:color="auto" w:val="clear"/>
            <w:tcMar>
              <w:top w:type="dxa" w:w="80"/>
              <w:left w:type="dxa" w:w="120"/>
              <w:bottom w:type="dxa" w:w="80"/>
              <w:right w:type="dxa" w:w="120"/>
            </w:tcMar>
          </w:tcPr>
          <w:p>
            <w:pPr>
              <w:spacing w:after="0" w:before="0" w:line="240"/>
              <w:jc w:val="right"/>
            </w:pPr>
            <w:r>
              <w:rPr>
                <w:rFonts w:ascii="Arial" w:cs="Arial" w:eastAsia="Arial" w:hAnsi="Arial"/>
                <w:b w:val="false"/>
                <w:bCs w:val="false"/>
                <w:sz w:val="20"/>
                <w:szCs w:val="20"/>
              </w:rPr>
              <w:t xml:space="preserve">35.3% (adjusted)</w:t>
            </w:r>
          </w:p>
        </w:tc>
      </w:tr>
      <w:tr>
        <w:trPr>
          <w:cantSplit/>
          <w:tblHeader w:val="false"/>
        </w:trPr>
        <w:tc>
          <w:tcPr>
            <w:tcW w:type="dxa" w:w="2100"/>
            <w:tcMar>
              <w:top w:type="dxa" w:w="80"/>
              <w:left w:type="dxa" w:w="120"/>
              <w:bottom w:type="dxa" w:w="80"/>
              <w:right w:type="dxa" w:w="120"/>
            </w:tcMar>
          </w:tcPr>
          <w:p>
            <w:pPr>
              <w:spacing w:after="0" w:before="0" w:line="240"/>
              <w:jc w:val="left"/>
            </w:pPr>
            <w:r>
              <w:rPr>
                <w:rFonts w:ascii="Arial" w:cs="Arial" w:eastAsia="Arial" w:hAnsi="Arial"/>
                <w:b w:val="false"/>
                <w:bCs w:val="false"/>
                <w:sz w:val="20"/>
                <w:szCs w:val="20"/>
              </w:rPr>
              <w:t xml:space="preserve">Wallet</w:t>
            </w:r>
          </w:p>
        </w:tc>
        <w:tc>
          <w:tcPr>
            <w:tcW w:type="dxa" w:w="2280"/>
            <w:tcMar>
              <w:top w:type="dxa" w:w="80"/>
              <w:left w:type="dxa" w:w="120"/>
              <w:bottom w:type="dxa" w:w="80"/>
              <w:right w:type="dxa" w:w="120"/>
            </w:tcMar>
          </w:tcPr>
          <w:p>
            <w:pPr>
              <w:spacing w:after="0" w:before="0" w:line="240"/>
              <w:jc w:val="left"/>
            </w:pPr>
            <w:r>
              <w:rPr>
                <w:rFonts w:ascii="Arial" w:cs="Arial" w:eastAsia="Arial" w:hAnsi="Arial"/>
                <w:b w:val="false"/>
                <w:bCs w:val="false"/>
                <w:sz w:val="20"/>
                <w:szCs w:val="20"/>
              </w:rPr>
              <w:t xml:space="preserve">PayPal, CY2025</w:t>
            </w:r>
          </w:p>
        </w:tc>
        <w:tc>
          <w:tcPr>
            <w:tcW w:type="dxa" w:w="2340"/>
            <w:tcMar>
              <w:top w:type="dxa" w:w="80"/>
              <w:left w:type="dxa" w:w="120"/>
              <w:bottom w:type="dxa" w:w="80"/>
              <w:right w:type="dxa" w:w="120"/>
            </w:tcMar>
          </w:tcPr>
          <w:p>
            <w:pPr>
              <w:spacing w:after="0" w:before="0" w:line="240"/>
              <w:jc w:val="right"/>
            </w:pPr>
            <w:r>
              <w:rPr>
                <w:rFonts w:ascii="Arial" w:cs="Arial" w:eastAsia="Arial" w:hAnsi="Arial"/>
                <w:b w:val="false"/>
                <w:bCs w:val="false"/>
                <w:sz w:val="20"/>
                <w:szCs w:val="20"/>
              </w:rPr>
              <w:t xml:space="preserve">0.89% of TPV</w:t>
            </w:r>
          </w:p>
        </w:tc>
        <w:tc>
          <w:tcPr>
            <w:tcW w:type="dxa" w:w="2640"/>
            <w:tcMar>
              <w:top w:type="dxa" w:w="80"/>
              <w:left w:type="dxa" w:w="120"/>
              <w:bottom w:type="dxa" w:w="80"/>
              <w:right w:type="dxa" w:w="120"/>
            </w:tcMar>
          </w:tcPr>
          <w:p>
            <w:pPr>
              <w:spacing w:after="0" w:before="0" w:line="240"/>
              <w:jc w:val="right"/>
            </w:pPr>
            <w:r>
              <w:rPr>
                <w:rFonts w:ascii="Arial" w:cs="Arial" w:eastAsia="Arial" w:hAnsi="Arial"/>
                <w:b w:val="false"/>
                <w:bCs w:val="false"/>
                <w:sz w:val="20"/>
                <w:szCs w:val="20"/>
              </w:rPr>
              <w:t xml:space="preserve">18.3%</w:t>
            </w:r>
          </w:p>
        </w:tc>
      </w:tr>
      <w:tr>
        <w:trPr>
          <w:cantSplit/>
          <w:tblHeader w:val="false"/>
        </w:trPr>
        <w:tc>
          <w:tcPr>
            <w:tcW w:type="dxa" w:w="2100"/>
            <w:shd w:fill="F4F6FA" w:color="auto" w:val="clear"/>
            <w:tcMar>
              <w:top w:type="dxa" w:w="80"/>
              <w:left w:type="dxa" w:w="120"/>
              <w:bottom w:type="dxa" w:w="80"/>
              <w:right w:type="dxa" w:w="120"/>
            </w:tcMar>
          </w:tcPr>
          <w:p>
            <w:pPr>
              <w:spacing w:after="0" w:before="0" w:line="240"/>
              <w:jc w:val="left"/>
            </w:pPr>
            <w:r>
              <w:rPr>
                <w:rFonts w:ascii="Arial" w:cs="Arial" w:eastAsia="Arial" w:hAnsi="Arial"/>
                <w:b w:val="false"/>
                <w:bCs w:val="false"/>
                <w:sz w:val="20"/>
                <w:szCs w:val="20"/>
              </w:rPr>
              <w:t xml:space="preserve">Closed loop (issuer + network + acquirer)</w:t>
            </w:r>
          </w:p>
        </w:tc>
        <w:tc>
          <w:tcPr>
            <w:tcW w:type="dxa" w:w="2280"/>
            <w:shd w:fill="F4F6FA" w:color="auto" w:val="clear"/>
            <w:tcMar>
              <w:top w:type="dxa" w:w="80"/>
              <w:left w:type="dxa" w:w="120"/>
              <w:bottom w:type="dxa" w:w="80"/>
              <w:right w:type="dxa" w:w="120"/>
            </w:tcMar>
          </w:tcPr>
          <w:p>
            <w:pPr>
              <w:spacing w:after="0" w:before="0" w:line="240"/>
              <w:jc w:val="left"/>
            </w:pPr>
            <w:r>
              <w:rPr>
                <w:rFonts w:ascii="Arial" w:cs="Arial" w:eastAsia="Arial" w:hAnsi="Arial"/>
                <w:b w:val="false"/>
                <w:bCs w:val="false"/>
                <w:sz w:val="20"/>
                <w:szCs w:val="20"/>
              </w:rPr>
              <w:t xml:space="preserve">American Express, CY2025</w:t>
            </w:r>
          </w:p>
        </w:tc>
        <w:tc>
          <w:tcPr>
            <w:tcW w:type="dxa" w:w="2340"/>
            <w:shd w:fill="F4F6FA" w:color="auto" w:val="clear"/>
            <w:tcMar>
              <w:top w:type="dxa" w:w="80"/>
              <w:left w:type="dxa" w:w="120"/>
              <w:bottom w:type="dxa" w:w="80"/>
              <w:right w:type="dxa" w:w="120"/>
            </w:tcMar>
          </w:tcPr>
          <w:p>
            <w:pPr>
              <w:spacing w:after="0" w:before="0" w:line="240"/>
              <w:jc w:val="right"/>
            </w:pPr>
            <w:r>
              <w:rPr>
                <w:rFonts w:ascii="Arial" w:cs="Arial" w:eastAsia="Arial" w:hAnsi="Arial"/>
                <w:b w:val="false"/>
                <w:bCs w:val="false"/>
                <w:sz w:val="20"/>
                <w:szCs w:val="20"/>
              </w:rPr>
              <w:t xml:space="preserve">2.24% discount rate</w:t>
            </w:r>
          </w:p>
        </w:tc>
        <w:tc>
          <w:tcPr>
            <w:tcW w:type="dxa" w:w="2640"/>
            <w:shd w:fill="F4F6FA" w:color="auto" w:val="clear"/>
            <w:tcMar>
              <w:top w:type="dxa" w:w="80"/>
              <w:left w:type="dxa" w:w="120"/>
              <w:bottom w:type="dxa" w:w="80"/>
              <w:right w:type="dxa" w:w="120"/>
            </w:tcMar>
          </w:tcPr>
          <w:p>
            <w:pPr>
              <w:spacing w:after="0" w:before="0" w:line="240"/>
              <w:jc w:val="right"/>
            </w:pPr>
            <w:r>
              <w:rPr>
                <w:rFonts w:ascii="Arial" w:cs="Arial" w:eastAsia="Arial" w:hAnsi="Arial"/>
                <w:b w:val="false"/>
                <w:bCs w:val="false"/>
                <w:sz w:val="20"/>
                <w:szCs w:val="20"/>
              </w:rPr>
              <w:t xml:space="preserve">15.0% net margin</w:t>
            </w:r>
          </w:p>
        </w:tc>
      </w:tr>
    </w:tbl>
    <w:p>
      <w:pPr>
        <w:spacing w:after="220" w:before="60"/>
      </w:pPr>
      <w:r>
        <w:rPr>
          <w:rFonts w:ascii="Arial" w:cs="Arial" w:eastAsia="Arial" w:hAnsi="Arial"/>
          <w:i/>
          <w:iCs/>
          <w:color w:val="5A5A5A"/>
          <w:sz w:val="17"/>
          <w:szCs w:val="17"/>
        </w:rPr>
        <w:t xml:space="preserve">Company filings and earnings releases as cited. Visa's ex-litigation margin, Adyen's and Amex's ratios are inferred from disclosed figures. American Express is deliberately included as a contrast, not a comparable: it earns roughly seven times Visa's take rate on the same transaction and converts it to a quarter of the margin, because it also funds the receivable, carries the credit loss and pays for the rewards.</w:t>
      </w:r>
    </w:p>
    <w:p>
      <w:pPr>
        <w:spacing w:after="140" w:line="264"/>
      </w:pPr>
      <w:r>
        <w:rPr>
          <w:rFonts w:ascii="Arial" w:cs="Arial" w:eastAsia="Arial" w:hAnsi="Arial"/>
          <w:sz w:val="22"/>
          <w:szCs w:val="22"/>
        </w:rPr>
        <w:t xml:space="preserve">The conclusion the table forces is that in this industry position in the chain, not price, determines the margin. Visa earns 0.29% of the value it carries and keeps 60 cents of every revenue dollar as operating profit. Amex earns 2.24% of the value it carries and keeps 15 cents. The difference is not pricing power in any conventional sense — it is that the network sold the one thing that requires no capital.</w:t>
      </w:r>
    </w:p>
    <w:p>
      <w:pPr>
        <w:pStyle w:val="Heading2"/>
        <w:spacing w:after="180" w:before="180"/>
      </w:pPr>
      <w:r>
        <w:rPr>
          <w:rFonts w:ascii="Arial" w:cs="Arial" w:eastAsia="Arial" w:hAnsi="Arial"/>
          <w:b/>
          <w:bCs/>
          <w:color w:val="1F3864"/>
          <w:sz w:val="28"/>
          <w:szCs w:val="28"/>
        </w:rPr>
        <w:t xml:space="preserve">What actually binds as a barrier</w:t>
      </w:r>
    </w:p>
    <w:p>
      <w:pPr>
        <w:spacing w:after="140" w:line="264"/>
      </w:pPr>
      <w:r>
        <w:rPr>
          <w:rFonts w:ascii="Arial" w:cs="Arial" w:eastAsia="Arial" w:hAnsi="Arial"/>
          <w:sz w:val="22"/>
          <w:szCs w:val="22"/>
        </w:rPr>
        <w:t xml:space="preserve">Three barriers are usually cited for Visa and only one of them genuinely binds. Brand does not — Amex, Discover and JCB all have brands and none has scale. Technology does not — the switch is a well-understood problem and Pix and UPI were both built from nothing by central authorities in under a decade. What binds is the simultaneity requirement: an entrant must sign issuers and merchants at the same time, because neither side will join a network the other has not joined. Visa's disclosed reach is approximately 12 billion endpoints against more than 175 million merchant locations in more than 200 countries (FY2025 10-K). No commercial entrant has ever assembled both sides at once. The two that came closest, Pix and UPI, did it by government mandate rather than commercial negotiation, which is the point.</w:t>
      </w:r>
    </w:p>
    <w:p>
      <w:pPr>
        <w:spacing w:after="140" w:line="264"/>
      </w:pPr>
      <w:r>
        <w:rPr>
          <w:rFonts w:ascii="Arial" w:cs="Arial" w:eastAsia="Arial" w:hAnsi="Arial"/>
          <w:sz w:val="22"/>
          <w:szCs w:val="22"/>
        </w:rPr>
        <w:t xml:space="preserve">A second barrier is less discussed and more durable: every regulator that has intervened has capped the issuer's cut and left the network's alone. The pattern is consistent across six regimes and two decades. The Durbin Amendment caps US debit interchange and says nothing about network fees. The EU Interchange Fee Regulation caps interchange at 0.2% on debit and 0.3% on credit and puts scheme fees explicitly out of scope. Australia, Brazil and India have each capped or eliminated interchange while leaving network fees unregulated.</w:t>
      </w:r>
    </w:p>
    <w:p>
      <w:pPr>
        <w:spacing w:after="140" w:line="264"/>
      </w:pPr>
      <w:r>
        <w:rPr>
          <w:rFonts w:ascii="Arial" w:cs="Arial" w:eastAsia="Arial" w:hAnsi="Arial"/>
          <w:sz w:val="22"/>
          <w:szCs w:val="22"/>
        </w:rPr>
        <w:t xml:space="preserve">The measured consequence is that capping interchange transfers money from issuers to merchants without touching the network. The European Commission found that acquirers saved roughly €2.7 billion in 2017 and issuers lost roughly €3.0 billion a year — and that the schemes gained approximately €550 million a year from higher scheme fees between 2015 and 2017, recouping about a fifth of the transfer within two years. The Federal Reserve's series is starker: US debit network fees have held at 0.28% of value continuously from Reg II's introduction in 2011 through 2023, while the per-transaction network fee rose from $0.098 to $0.129.</w:t>
      </w:r>
    </w:p>
    <w:p>
      <w:pPr>
        <w:spacing w:after="140" w:line="264"/>
      </w:pPr>
      <w:r>
        <w:rPr>
          <w:rFonts w:ascii="Arial" w:cs="Arial" w:eastAsia="Arial" w:hAnsi="Arial"/>
          <w:sz w:val="22"/>
          <w:szCs w:val="22"/>
        </w:rPr>
        <w:t xml:space="preserve">That asymmetry is now the thing regulators have noticed, which makes it the thing most likely to change. The PSR's March 2025 final report found average core scheme fees rose at least 25% in real terms between 2017 and 2023, costing UK businesses at least £170 million a year more, and that scheme margins are higher than would be expected in competitive markets against comparators earning 12–18%. Its chosen remedies, consulted on again in May 2026, are transparency and regulatory financial reporting — not price. The RBA reached the same conclusion in March 2026, declined to cap scheme fees for want of evidence, required Scheme Fee Roadmaps by April 2027, and explicitly retained the option to intervene later. Both regulators have now built the evidentiary base a cap would require.</w:t>
      </w:r>
    </w:p>
    <w:p>
      <w:pPr>
        <w:pStyle w:val="Heading2"/>
        <w:spacing w:after="180" w:before="180"/>
      </w:pPr>
      <w:r>
        <w:rPr>
          <w:rFonts w:ascii="Arial" w:cs="Arial" w:eastAsia="Arial" w:hAnsi="Arial"/>
          <w:b/>
          <w:bCs/>
          <w:color w:val="1F3864"/>
          <w:sz w:val="28"/>
          <w:szCs w:val="28"/>
        </w:rPr>
        <w:t xml:space="preserve">Named competitors, and the one that is not a competitor</w:t>
      </w:r>
    </w:p>
    <w:p>
      <w:pPr>
        <w:spacing w:after="140" w:line="264"/>
      </w:pPr>
      <w:r>
        <w:rPr>
          <w:rFonts w:ascii="Arial" w:cs="Arial" w:eastAsia="Arial" w:hAnsi="Arial"/>
          <w:sz w:val="22"/>
          <w:szCs w:val="22"/>
        </w:rPr>
        <w:t xml:space="preserve">Visa's own filing publishes the comparison, drawn from calendar 2024 network data.</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2760"/>
        <w:gridCol w:w="2400"/>
        <w:gridCol w:w="2200"/>
        <w:gridCol w:w="2000"/>
      </w:tblGrid>
      <w:tr>
        <w:trPr>
          <w:cantSplit/>
          <w:tblHeader/>
        </w:trPr>
        <w:tc>
          <w:tcPr>
            <w:tcW w:type="dxa" w:w="2760"/>
            <w:shd w:fill="1F3864" w:color="auto" w:val="clear"/>
            <w:tcMar>
              <w:top w:type="dxa" w:w="80"/>
              <w:left w:type="dxa" w:w="120"/>
              <w:bottom w:type="dxa" w:w="80"/>
              <w:right w:type="dxa" w:w="120"/>
            </w:tcMar>
          </w:tcPr>
          <w:p>
            <w:pPr>
              <w:spacing w:after="0" w:before="0" w:line="240"/>
              <w:jc w:val="left"/>
            </w:pPr>
            <w:r>
              <w:rPr>
                <w:rFonts w:ascii="Arial" w:cs="Arial" w:eastAsia="Arial" w:hAnsi="Arial"/>
                <w:b/>
                <w:bCs/>
                <w:color w:val="FFFFFF"/>
                <w:sz w:val="20"/>
                <w:szCs w:val="20"/>
              </w:rPr>
              <w:t xml:space="preserve">Network</w:t>
            </w:r>
          </w:p>
        </w:tc>
        <w:tc>
          <w:tcPr>
            <w:tcW w:type="dxa" w:w="2400"/>
            <w:shd w:fill="1F3864" w:color="auto" w:val="clear"/>
            <w:tcMar>
              <w:top w:type="dxa" w:w="80"/>
              <w:left w:type="dxa" w:w="120"/>
              <w:bottom w:type="dxa" w:w="80"/>
              <w:right w:type="dxa" w:w="120"/>
            </w:tcMar>
          </w:tcPr>
          <w:p>
            <w:pPr>
              <w:spacing w:after="0" w:before="0" w:line="240"/>
              <w:jc w:val="left"/>
            </w:pPr>
            <w:r>
              <w:rPr>
                <w:rFonts w:ascii="Arial" w:cs="Arial" w:eastAsia="Arial" w:hAnsi="Arial"/>
                <w:b/>
                <w:bCs/>
                <w:color w:val="FFFFFF"/>
                <w:sz w:val="20"/>
                <w:szCs w:val="20"/>
              </w:rPr>
              <w:t xml:space="preserve">Payments volume ($bn)</w:t>
            </w:r>
          </w:p>
        </w:tc>
        <w:tc>
          <w:tcPr>
            <w:tcW w:type="dxa" w:w="2200"/>
            <w:shd w:fill="1F3864" w:color="auto" w:val="clear"/>
            <w:tcMar>
              <w:top w:type="dxa" w:w="80"/>
              <w:left w:type="dxa" w:w="120"/>
              <w:bottom w:type="dxa" w:w="80"/>
              <w:right w:type="dxa" w:w="120"/>
            </w:tcMar>
          </w:tcPr>
          <w:p>
            <w:pPr>
              <w:spacing w:after="0" w:before="0" w:line="240"/>
              <w:jc w:val="left"/>
            </w:pPr>
            <w:r>
              <w:rPr>
                <w:rFonts w:ascii="Arial" w:cs="Arial" w:eastAsia="Arial" w:hAnsi="Arial"/>
                <w:b/>
                <w:bCs/>
                <w:color w:val="FFFFFF"/>
                <w:sz w:val="20"/>
                <w:szCs w:val="20"/>
              </w:rPr>
              <w:t xml:space="preserve">Total transactions (bn)</w:t>
            </w:r>
          </w:p>
        </w:tc>
        <w:tc>
          <w:tcPr>
            <w:tcW w:type="dxa" w:w="2000"/>
            <w:shd w:fill="1F3864" w:color="auto" w:val="clear"/>
            <w:tcMar>
              <w:top w:type="dxa" w:w="80"/>
              <w:left w:type="dxa" w:w="120"/>
              <w:bottom w:type="dxa" w:w="80"/>
              <w:right w:type="dxa" w:w="120"/>
            </w:tcMar>
          </w:tcPr>
          <w:p>
            <w:pPr>
              <w:spacing w:after="0" w:before="0" w:line="240"/>
              <w:jc w:val="left"/>
            </w:pPr>
            <w:r>
              <w:rPr>
                <w:rFonts w:ascii="Arial" w:cs="Arial" w:eastAsia="Arial" w:hAnsi="Arial"/>
                <w:b/>
                <w:bCs/>
                <w:color w:val="FFFFFF"/>
                <w:sz w:val="20"/>
                <w:szCs w:val="20"/>
              </w:rPr>
              <w:t xml:space="preserve">Cards (m)</w:t>
            </w:r>
          </w:p>
        </w:tc>
      </w:tr>
      <w:tr>
        <w:trPr>
          <w:cantSplit/>
          <w:tblHeader w:val="false"/>
        </w:trPr>
        <w:tc>
          <w:tcPr>
            <w:tcW w:type="dxa" w:w="2760"/>
            <w:tcMar>
              <w:top w:type="dxa" w:w="80"/>
              <w:left w:type="dxa" w:w="120"/>
              <w:bottom w:type="dxa" w:w="80"/>
              <w:right w:type="dxa" w:w="120"/>
            </w:tcMar>
          </w:tcPr>
          <w:p>
            <w:pPr>
              <w:spacing w:after="0" w:before="0" w:line="240"/>
              <w:jc w:val="left"/>
            </w:pPr>
            <w:r>
              <w:rPr>
                <w:rFonts w:ascii="Arial" w:cs="Arial" w:eastAsia="Arial" w:hAnsi="Arial"/>
                <w:b w:val="false"/>
                <w:bCs w:val="false"/>
                <w:sz w:val="20"/>
                <w:szCs w:val="20"/>
              </w:rPr>
              <w:t xml:space="preserve">Visa</w:t>
            </w:r>
          </w:p>
        </w:tc>
        <w:tc>
          <w:tcPr>
            <w:tcW w:type="dxa" w:w="2400"/>
            <w:tcMar>
              <w:top w:type="dxa" w:w="80"/>
              <w:left w:type="dxa" w:w="120"/>
              <w:bottom w:type="dxa" w:w="80"/>
              <w:right w:type="dxa" w:w="120"/>
            </w:tcMar>
          </w:tcPr>
          <w:p>
            <w:pPr>
              <w:spacing w:after="0" w:before="0" w:line="240"/>
              <w:jc w:val="right"/>
            </w:pPr>
            <w:r>
              <w:rPr>
                <w:rFonts w:ascii="Arial" w:cs="Arial" w:eastAsia="Arial" w:hAnsi="Arial"/>
                <w:b w:val="false"/>
                <w:bCs w:val="false"/>
                <w:sz w:val="20"/>
                <w:szCs w:val="20"/>
              </w:rPr>
              <w:t xml:space="preserve">13,433</w:t>
            </w:r>
          </w:p>
        </w:tc>
        <w:tc>
          <w:tcPr>
            <w:tcW w:type="dxa" w:w="2200"/>
            <w:tcMar>
              <w:top w:type="dxa" w:w="80"/>
              <w:left w:type="dxa" w:w="120"/>
              <w:bottom w:type="dxa" w:w="80"/>
              <w:right w:type="dxa" w:w="120"/>
            </w:tcMar>
          </w:tcPr>
          <w:p>
            <w:pPr>
              <w:spacing w:after="0" w:before="0" w:line="240"/>
              <w:jc w:val="right"/>
            </w:pPr>
            <w:r>
              <w:rPr>
                <w:rFonts w:ascii="Arial" w:cs="Arial" w:eastAsia="Arial" w:hAnsi="Arial"/>
                <w:b w:val="false"/>
                <w:bCs w:val="false"/>
                <w:sz w:val="20"/>
                <w:szCs w:val="20"/>
              </w:rPr>
              <w:t xml:space="preserve">311</w:t>
            </w:r>
          </w:p>
        </w:tc>
        <w:tc>
          <w:tcPr>
            <w:tcW w:type="dxa" w:w="2000"/>
            <w:tcMar>
              <w:top w:type="dxa" w:w="80"/>
              <w:left w:type="dxa" w:w="120"/>
              <w:bottom w:type="dxa" w:w="80"/>
              <w:right w:type="dxa" w:w="120"/>
            </w:tcMar>
          </w:tcPr>
          <w:p>
            <w:pPr>
              <w:spacing w:after="0" w:before="0" w:line="240"/>
              <w:jc w:val="right"/>
            </w:pPr>
            <w:r>
              <w:rPr>
                <w:rFonts w:ascii="Arial" w:cs="Arial" w:eastAsia="Arial" w:hAnsi="Arial"/>
                <w:b w:val="false"/>
                <w:bCs w:val="false"/>
                <w:sz w:val="20"/>
                <w:szCs w:val="20"/>
              </w:rPr>
              <w:t xml:space="preserve">4,805</w:t>
            </w:r>
          </w:p>
        </w:tc>
      </w:tr>
      <w:tr>
        <w:trPr>
          <w:cantSplit/>
          <w:tblHeader w:val="false"/>
        </w:trPr>
        <w:tc>
          <w:tcPr>
            <w:tcW w:type="dxa" w:w="2760"/>
            <w:shd w:fill="F4F6FA" w:color="auto" w:val="clear"/>
            <w:tcMar>
              <w:top w:type="dxa" w:w="80"/>
              <w:left w:type="dxa" w:w="120"/>
              <w:bottom w:type="dxa" w:w="80"/>
              <w:right w:type="dxa" w:w="120"/>
            </w:tcMar>
          </w:tcPr>
          <w:p>
            <w:pPr>
              <w:spacing w:after="0" w:before="0" w:line="240"/>
              <w:jc w:val="left"/>
            </w:pPr>
            <w:r>
              <w:rPr>
                <w:rFonts w:ascii="Arial" w:cs="Arial" w:eastAsia="Arial" w:hAnsi="Arial"/>
                <w:b w:val="false"/>
                <w:bCs w:val="false"/>
                <w:sz w:val="20"/>
                <w:szCs w:val="20"/>
              </w:rPr>
              <w:t xml:space="preserve">Mastercard</w:t>
            </w:r>
          </w:p>
        </w:tc>
        <w:tc>
          <w:tcPr>
            <w:tcW w:type="dxa" w:w="2400"/>
            <w:shd w:fill="F4F6FA" w:color="auto" w:val="clear"/>
            <w:tcMar>
              <w:top w:type="dxa" w:w="80"/>
              <w:left w:type="dxa" w:w="120"/>
              <w:bottom w:type="dxa" w:w="80"/>
              <w:right w:type="dxa" w:w="120"/>
            </w:tcMar>
          </w:tcPr>
          <w:p>
            <w:pPr>
              <w:spacing w:after="0" w:before="0" w:line="240"/>
              <w:jc w:val="right"/>
            </w:pPr>
            <w:r>
              <w:rPr>
                <w:rFonts w:ascii="Arial" w:cs="Arial" w:eastAsia="Arial" w:hAnsi="Arial"/>
                <w:b w:val="false"/>
                <w:bCs w:val="false"/>
                <w:sz w:val="20"/>
                <w:szCs w:val="20"/>
              </w:rPr>
              <w:t xml:space="preserve">8,014</w:t>
            </w:r>
          </w:p>
        </w:tc>
        <w:tc>
          <w:tcPr>
            <w:tcW w:type="dxa" w:w="2200"/>
            <w:shd w:fill="F4F6FA" w:color="auto" w:val="clear"/>
            <w:tcMar>
              <w:top w:type="dxa" w:w="80"/>
              <w:left w:type="dxa" w:w="120"/>
              <w:bottom w:type="dxa" w:w="80"/>
              <w:right w:type="dxa" w:w="120"/>
            </w:tcMar>
          </w:tcPr>
          <w:p>
            <w:pPr>
              <w:spacing w:after="0" w:before="0" w:line="240"/>
              <w:jc w:val="right"/>
            </w:pPr>
            <w:r>
              <w:rPr>
                <w:rFonts w:ascii="Arial" w:cs="Arial" w:eastAsia="Arial" w:hAnsi="Arial"/>
                <w:b w:val="false"/>
                <w:bCs w:val="false"/>
                <w:sz w:val="20"/>
                <w:szCs w:val="20"/>
              </w:rPr>
              <w:t xml:space="preserve">204</w:t>
            </w:r>
          </w:p>
        </w:tc>
        <w:tc>
          <w:tcPr>
            <w:tcW w:type="dxa" w:w="2000"/>
            <w:shd w:fill="F4F6FA" w:color="auto" w:val="clear"/>
            <w:tcMar>
              <w:top w:type="dxa" w:w="80"/>
              <w:left w:type="dxa" w:w="120"/>
              <w:bottom w:type="dxa" w:w="80"/>
              <w:right w:type="dxa" w:w="120"/>
            </w:tcMar>
          </w:tcPr>
          <w:p>
            <w:pPr>
              <w:spacing w:after="0" w:before="0" w:line="240"/>
              <w:jc w:val="right"/>
            </w:pPr>
            <w:r>
              <w:rPr>
                <w:rFonts w:ascii="Arial" w:cs="Arial" w:eastAsia="Arial" w:hAnsi="Arial"/>
                <w:b w:val="false"/>
                <w:bCs w:val="false"/>
                <w:sz w:val="20"/>
                <w:szCs w:val="20"/>
              </w:rPr>
              <w:t xml:space="preserve">3,146</w:t>
            </w:r>
          </w:p>
        </w:tc>
      </w:tr>
      <w:tr>
        <w:trPr>
          <w:cantSplit/>
          <w:tblHeader w:val="false"/>
        </w:trPr>
        <w:tc>
          <w:tcPr>
            <w:tcW w:type="dxa" w:w="2760"/>
            <w:tcMar>
              <w:top w:type="dxa" w:w="80"/>
              <w:left w:type="dxa" w:w="120"/>
              <w:bottom w:type="dxa" w:w="80"/>
              <w:right w:type="dxa" w:w="120"/>
            </w:tcMar>
          </w:tcPr>
          <w:p>
            <w:pPr>
              <w:spacing w:after="0" w:before="0" w:line="240"/>
              <w:jc w:val="left"/>
            </w:pPr>
            <w:r>
              <w:rPr>
                <w:rFonts w:ascii="Arial" w:cs="Arial" w:eastAsia="Arial" w:hAnsi="Arial"/>
                <w:b w:val="false"/>
                <w:bCs w:val="false"/>
                <w:sz w:val="20"/>
                <w:szCs w:val="20"/>
              </w:rPr>
              <w:t xml:space="preserve">American Express</w:t>
            </w:r>
          </w:p>
        </w:tc>
        <w:tc>
          <w:tcPr>
            <w:tcW w:type="dxa" w:w="2400"/>
            <w:tcMar>
              <w:top w:type="dxa" w:w="80"/>
              <w:left w:type="dxa" w:w="120"/>
              <w:bottom w:type="dxa" w:w="80"/>
              <w:right w:type="dxa" w:w="120"/>
            </w:tcMar>
          </w:tcPr>
          <w:p>
            <w:pPr>
              <w:spacing w:after="0" w:before="0" w:line="240"/>
              <w:jc w:val="right"/>
            </w:pPr>
            <w:r>
              <w:rPr>
                <w:rFonts w:ascii="Arial" w:cs="Arial" w:eastAsia="Arial" w:hAnsi="Arial"/>
                <w:b w:val="false"/>
                <w:bCs w:val="false"/>
                <w:sz w:val="20"/>
                <w:szCs w:val="20"/>
              </w:rPr>
              <w:t xml:space="preserve">1,750</w:t>
            </w:r>
          </w:p>
        </w:tc>
        <w:tc>
          <w:tcPr>
            <w:tcW w:type="dxa" w:w="2200"/>
            <w:tcMar>
              <w:top w:type="dxa" w:w="80"/>
              <w:left w:type="dxa" w:w="120"/>
              <w:bottom w:type="dxa" w:w="80"/>
              <w:right w:type="dxa" w:w="120"/>
            </w:tcMar>
          </w:tcPr>
          <w:p>
            <w:pPr>
              <w:spacing w:after="0" w:before="0" w:line="240"/>
              <w:jc w:val="right"/>
            </w:pPr>
            <w:r>
              <w:rPr>
                <w:rFonts w:ascii="Arial" w:cs="Arial" w:eastAsia="Arial" w:hAnsi="Arial"/>
                <w:b w:val="false"/>
                <w:bCs w:val="false"/>
                <w:sz w:val="20"/>
                <w:szCs w:val="20"/>
              </w:rPr>
              <w:t xml:space="preserve">12</w:t>
            </w:r>
          </w:p>
        </w:tc>
        <w:tc>
          <w:tcPr>
            <w:tcW w:type="dxa" w:w="2000"/>
            <w:tcMar>
              <w:top w:type="dxa" w:w="80"/>
              <w:left w:type="dxa" w:w="120"/>
              <w:bottom w:type="dxa" w:w="80"/>
              <w:right w:type="dxa" w:w="120"/>
            </w:tcMar>
          </w:tcPr>
          <w:p>
            <w:pPr>
              <w:spacing w:after="0" w:before="0" w:line="240"/>
              <w:jc w:val="right"/>
            </w:pPr>
            <w:r>
              <w:rPr>
                <w:rFonts w:ascii="Arial" w:cs="Arial" w:eastAsia="Arial" w:hAnsi="Arial"/>
                <w:b w:val="false"/>
                <w:bCs w:val="false"/>
                <w:sz w:val="20"/>
                <w:szCs w:val="20"/>
              </w:rPr>
              <w:t xml:space="preserve">147</w:t>
            </w:r>
          </w:p>
        </w:tc>
      </w:tr>
      <w:tr>
        <w:trPr>
          <w:cantSplit/>
          <w:tblHeader w:val="false"/>
        </w:trPr>
        <w:tc>
          <w:tcPr>
            <w:tcW w:type="dxa" w:w="2760"/>
            <w:shd w:fill="F4F6FA" w:color="auto" w:val="clear"/>
            <w:tcMar>
              <w:top w:type="dxa" w:w="80"/>
              <w:left w:type="dxa" w:w="120"/>
              <w:bottom w:type="dxa" w:w="80"/>
              <w:right w:type="dxa" w:w="120"/>
            </w:tcMar>
          </w:tcPr>
          <w:p>
            <w:pPr>
              <w:spacing w:after="0" w:before="0" w:line="240"/>
              <w:jc w:val="left"/>
            </w:pPr>
            <w:r>
              <w:rPr>
                <w:rFonts w:ascii="Arial" w:cs="Arial" w:eastAsia="Arial" w:hAnsi="Arial"/>
                <w:b w:val="false"/>
                <w:bCs w:val="false"/>
                <w:sz w:val="20"/>
                <w:szCs w:val="20"/>
              </w:rPr>
              <w:t xml:space="preserve">JCB</w:t>
            </w:r>
          </w:p>
        </w:tc>
        <w:tc>
          <w:tcPr>
            <w:tcW w:type="dxa" w:w="2400"/>
            <w:shd w:fill="F4F6FA" w:color="auto" w:val="clear"/>
            <w:tcMar>
              <w:top w:type="dxa" w:w="80"/>
              <w:left w:type="dxa" w:w="120"/>
              <w:bottom w:type="dxa" w:w="80"/>
              <w:right w:type="dxa" w:w="120"/>
            </w:tcMar>
          </w:tcPr>
          <w:p>
            <w:pPr>
              <w:spacing w:after="0" w:before="0" w:line="240"/>
              <w:jc w:val="right"/>
            </w:pPr>
            <w:r>
              <w:rPr>
                <w:rFonts w:ascii="Arial" w:cs="Arial" w:eastAsia="Arial" w:hAnsi="Arial"/>
                <w:b w:val="false"/>
                <w:bCs w:val="false"/>
                <w:sz w:val="20"/>
                <w:szCs w:val="20"/>
              </w:rPr>
              <w:t xml:space="preserve">319</w:t>
            </w:r>
          </w:p>
        </w:tc>
        <w:tc>
          <w:tcPr>
            <w:tcW w:type="dxa" w:w="2200"/>
            <w:shd w:fill="F4F6FA" w:color="auto" w:val="clear"/>
            <w:tcMar>
              <w:top w:type="dxa" w:w="80"/>
              <w:left w:type="dxa" w:w="120"/>
              <w:bottom w:type="dxa" w:w="80"/>
              <w:right w:type="dxa" w:w="120"/>
            </w:tcMar>
          </w:tcPr>
          <w:p>
            <w:pPr>
              <w:spacing w:after="0" w:before="0" w:line="240"/>
              <w:jc w:val="right"/>
            </w:pPr>
            <w:r>
              <w:rPr>
                <w:rFonts w:ascii="Arial" w:cs="Arial" w:eastAsia="Arial" w:hAnsi="Arial"/>
                <w:b w:val="false"/>
                <w:bCs w:val="false"/>
                <w:sz w:val="20"/>
                <w:szCs w:val="20"/>
              </w:rPr>
              <w:t xml:space="preserve">7</w:t>
            </w:r>
          </w:p>
        </w:tc>
        <w:tc>
          <w:tcPr>
            <w:tcW w:type="dxa" w:w="2000"/>
            <w:shd w:fill="F4F6FA" w:color="auto" w:val="clear"/>
            <w:tcMar>
              <w:top w:type="dxa" w:w="80"/>
              <w:left w:type="dxa" w:w="120"/>
              <w:bottom w:type="dxa" w:w="80"/>
              <w:right w:type="dxa" w:w="120"/>
            </w:tcMar>
          </w:tcPr>
          <w:p>
            <w:pPr>
              <w:spacing w:after="0" w:before="0" w:line="240"/>
              <w:jc w:val="right"/>
            </w:pPr>
            <w:r>
              <w:rPr>
                <w:rFonts w:ascii="Arial" w:cs="Arial" w:eastAsia="Arial" w:hAnsi="Arial"/>
                <w:b w:val="false"/>
                <w:bCs w:val="false"/>
                <w:sz w:val="20"/>
                <w:szCs w:val="20"/>
              </w:rPr>
              <w:t xml:space="preserve">167</w:t>
            </w:r>
          </w:p>
        </w:tc>
      </w:tr>
      <w:tr>
        <w:trPr>
          <w:cantSplit/>
          <w:tblHeader w:val="false"/>
        </w:trPr>
        <w:tc>
          <w:tcPr>
            <w:tcW w:type="dxa" w:w="2760"/>
            <w:tcMar>
              <w:top w:type="dxa" w:w="80"/>
              <w:left w:type="dxa" w:w="120"/>
              <w:bottom w:type="dxa" w:w="80"/>
              <w:right w:type="dxa" w:w="120"/>
            </w:tcMar>
          </w:tcPr>
          <w:p>
            <w:pPr>
              <w:spacing w:after="0" w:before="0" w:line="240"/>
              <w:jc w:val="left"/>
            </w:pPr>
            <w:r>
              <w:rPr>
                <w:rFonts w:ascii="Arial" w:cs="Arial" w:eastAsia="Arial" w:hAnsi="Arial"/>
                <w:b w:val="false"/>
                <w:bCs w:val="false"/>
                <w:sz w:val="20"/>
                <w:szCs w:val="20"/>
              </w:rPr>
              <w:t xml:space="preserve">Diners Club / Discover</w:t>
            </w:r>
          </w:p>
        </w:tc>
        <w:tc>
          <w:tcPr>
            <w:tcW w:type="dxa" w:w="2400"/>
            <w:tcMar>
              <w:top w:type="dxa" w:w="80"/>
              <w:left w:type="dxa" w:w="120"/>
              <w:bottom w:type="dxa" w:w="80"/>
              <w:right w:type="dxa" w:w="120"/>
            </w:tcMar>
          </w:tcPr>
          <w:p>
            <w:pPr>
              <w:spacing w:after="0" w:before="0" w:line="240"/>
              <w:jc w:val="right"/>
            </w:pPr>
            <w:r>
              <w:rPr>
                <w:rFonts w:ascii="Arial" w:cs="Arial" w:eastAsia="Arial" w:hAnsi="Arial"/>
                <w:b w:val="false"/>
                <w:bCs w:val="false"/>
                <w:sz w:val="20"/>
                <w:szCs w:val="20"/>
              </w:rPr>
              <w:t xml:space="preserve">253</w:t>
            </w:r>
          </w:p>
        </w:tc>
        <w:tc>
          <w:tcPr>
            <w:tcW w:type="dxa" w:w="2200"/>
            <w:tcMar>
              <w:top w:type="dxa" w:w="80"/>
              <w:left w:type="dxa" w:w="120"/>
              <w:bottom w:type="dxa" w:w="80"/>
              <w:right w:type="dxa" w:w="120"/>
            </w:tcMar>
          </w:tcPr>
          <w:p>
            <w:pPr>
              <w:spacing w:after="0" w:before="0" w:line="240"/>
              <w:jc w:val="right"/>
            </w:pPr>
            <w:r>
              <w:rPr>
                <w:rFonts w:ascii="Arial" w:cs="Arial" w:eastAsia="Arial" w:hAnsi="Arial"/>
                <w:b w:val="false"/>
                <w:bCs w:val="false"/>
                <w:sz w:val="20"/>
                <w:szCs w:val="20"/>
              </w:rPr>
              <w:t xml:space="preserve">4</w:t>
            </w:r>
          </w:p>
        </w:tc>
        <w:tc>
          <w:tcPr>
            <w:tcW w:type="dxa" w:w="2000"/>
            <w:tcMar>
              <w:top w:type="dxa" w:w="80"/>
              <w:left w:type="dxa" w:w="120"/>
              <w:bottom w:type="dxa" w:w="80"/>
              <w:right w:type="dxa" w:w="120"/>
            </w:tcMar>
          </w:tcPr>
          <w:p>
            <w:pPr>
              <w:spacing w:after="0" w:before="0" w:line="240"/>
              <w:jc w:val="right"/>
            </w:pPr>
            <w:r>
              <w:rPr>
                <w:rFonts w:ascii="Arial" w:cs="Arial" w:eastAsia="Arial" w:hAnsi="Arial"/>
                <w:b w:val="false"/>
                <w:bCs w:val="false"/>
                <w:sz w:val="20"/>
                <w:szCs w:val="20"/>
              </w:rPr>
              <w:t xml:space="preserve">72</w:t>
            </w:r>
          </w:p>
        </w:tc>
      </w:tr>
    </w:tbl>
    <w:p>
      <w:pPr>
        <w:spacing w:after="220" w:before="60"/>
      </w:pPr>
      <w:r>
        <w:rPr>
          <w:rFonts w:ascii="Arial" w:cs="Arial" w:eastAsia="Arial" w:hAnsi="Arial"/>
          <w:i/>
          <w:iCs/>
          <w:color w:val="5A5A5A"/>
          <w:sz w:val="17"/>
          <w:szCs w:val="17"/>
        </w:rPr>
        <w:t xml:space="preserve">FY2025 10-K, competitive comparison chart, calendar year 2024. UnionPay is excluded from Visa's chart. On a transaction-count basis UnionPay is comparable in size to Visa (Nilson, first half 2024: Visa 38.7%, UnionPay 33.2% of global purchase transactions), but the volume is overwhelmingly domestic Chinese switching under a domestic regulated regime, so it does not compete for the same profit pool.</w:t>
      </w:r>
    </w:p>
    <w:p>
      <w:pPr>
        <w:spacing w:after="140" w:line="264"/>
      </w:pPr>
      <w:r>
        <w:rPr>
          <w:rFonts w:ascii="Arial" w:cs="Arial" w:eastAsia="Arial" w:hAnsi="Arial"/>
          <w:sz w:val="22"/>
          <w:szCs w:val="22"/>
        </w:rPr>
        <w:t xml:space="preserve">Visa is roughly 1.7 times Mastercard on payments volume and 1.5 times on transactions (inferred), and the two behave less as rivals than as a duopoly whose members compete for individual bank portfolios rather than on system-wide price. That distinction matters because it explains why interchange caps have not compressed network fees: the competitive contest is for the issuer's credential, and the incentive payment described in Section 5 is the currency of that contest.</w:t>
      </w:r>
    </w:p>
    <w:p>
      <w:pPr>
        <w:pStyle w:val="Heading2"/>
        <w:spacing w:after="180" w:before="180"/>
      </w:pPr>
      <w:r>
        <w:rPr>
          <w:rFonts w:ascii="Arial" w:cs="Arial" w:eastAsia="Arial" w:hAnsi="Arial"/>
          <w:b/>
          <w:bCs/>
          <w:color w:val="1F3864"/>
          <w:sz w:val="28"/>
          <w:szCs w:val="28"/>
        </w:rPr>
        <w:t xml:space="preserve">The substitution question, and what the evidence actually shows</w:t>
      </w:r>
    </w:p>
    <w:p>
      <w:pPr>
        <w:spacing w:after="140" w:line="264"/>
      </w:pPr>
      <w:r>
        <w:rPr>
          <w:rFonts w:ascii="Arial" w:cs="Arial" w:eastAsia="Arial" w:hAnsi="Arial"/>
          <w:sz w:val="22"/>
          <w:szCs w:val="22"/>
        </w:rPr>
        <w:t xml:space="preserve">The genuine threat to a card network is not a better card network. It is a rail that moves money directly between bank accounts and bypasses the scheme entirely. Three such rails have now scaled far enough to be tested against evidence rather than argued about.</w:t>
      </w:r>
    </w:p>
    <w:p>
      <w:pPr>
        <w:spacing w:after="140" w:line="264"/>
      </w:pPr>
      <w:r>
        <w:rPr>
          <w:rFonts w:ascii="Arial" w:cs="Arial" w:eastAsia="Arial" w:hAnsi="Arial"/>
          <w:sz w:val="22"/>
          <w:szCs w:val="22"/>
        </w:rPr>
        <w:t xml:space="preserve">India is the cleanest experiment, because the government set the merchant discount rate on UPI to zero in January 2020 and left credit card fees uncapped. Between calendar 2019 and 2024, UPI volume compounded at 74% a year. Over exactly the same period, debit card volume in India fell at 18.9% a year and debit value at 5.5% a year — while credit card volume grew at 16.5% and credit value at 23.4% a year (RBI Payment Systems Report). UPI now carries about 85% of India's digital payments; debit cards have been effectively destroyed; credit cards accelerated.</w:t>
      </w:r>
    </w:p>
    <w:p>
      <w:pPr>
        <w:spacing w:after="140" w:line="264"/>
      </w:pPr>
      <w:r>
        <w:rPr>
          <w:rFonts w:ascii="Arial" w:cs="Arial" w:eastAsia="Arial" w:hAnsi="Arial"/>
          <w:sz w:val="22"/>
          <w:szCs w:val="22"/>
        </w:rPr>
        <w:t xml:space="preserve">Brazil repeats the result. Pix carried 79.8 billion transactions worth R$35.3 trillion in 2025, and cash fell from 76.6% to 40.5% of payments between the 2019 and 2023 survey rounds (Banco Central do Brasil). Yet Brazilian card value still grew 10.1% in 2025 — because credit grew 15.2% while debit grew 0.0% (ABECS). The damage is precisely located.</w:t>
      </w:r>
    </w:p>
    <w:p>
      <w:pPr>
        <w:spacing w:after="140" w:line="264"/>
      </w:pPr>
      <w:r>
        <w:rPr>
          <w:rFonts w:ascii="Arial" w:cs="Arial" w:eastAsia="Arial" w:hAnsi="Arial"/>
          <w:sz w:val="22"/>
          <w:szCs w:val="22"/>
        </w:rPr>
        <w:t xml:space="preserve">The mechanism is that a bank transfer and a card purchase are different products, and only look alike at the moment of payment. A card purchase carries a credit line, a rewards accrual, a chargeback right and a merchant-acceptance guarantee. A push payment from a bank account carries none of these, which is why it wins the low-value, immediate, no-recourse transaction — the one that was cash or debit — and loses the discretionary one. Visa's exposure is therefore concentrated in exactly the segment that is already the most regulated and the lowest-yielding.</w:t>
      </w:r>
    </w:p>
    <w:p>
      <w:pPr>
        <w:spacing w:after="140" w:line="264"/>
      </w:pPr>
      <w:r>
        <w:rPr>
          <w:rFonts w:ascii="Arial" w:cs="Arial" w:eastAsia="Arial" w:hAnsi="Arial"/>
          <w:sz w:val="22"/>
          <w:szCs w:val="22"/>
        </w:rPr>
        <w:t xml:space="preserve">Elsewhere the rails are far earlier. FedNow settled 5.0 million payments in the second quarter of 2026 at an average value of about $55,000, against 67.1 billion US credit card payments in 2024 — roughly three hundredths of one percent of card volume, and plainly a business rail rather than a checkout rail (Federal Reserve Financial Services; Federal Reserve Payments Study; ratio inferred). Wero, the European bank consortium's answer, had 43.5 million registered users and €7.5 billion transferred cumulatively after its first year (EPI, September 2025). UK open banking reached about 29.9 million payments in July 2025 against a card base carrying more than 95% of UK-issued card transactions.</w:t>
      </w:r>
    </w:p>
    <w:p>
      <w:pPr>
        <w:pStyle w:val="Heading2"/>
        <w:spacing w:after="180" w:before="180"/>
      </w:pPr>
      <w:r>
        <w:rPr>
          <w:rFonts w:ascii="Arial" w:cs="Arial" w:eastAsia="Arial" w:hAnsi="Arial"/>
          <w:b/>
          <w:bCs/>
          <w:color w:val="1F3864"/>
          <w:sz w:val="28"/>
          <w:szCs w:val="28"/>
        </w:rPr>
        <w:t xml:space="preserve">Does Visa's account of itself survive the outside evidence?</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2340"/>
        <w:gridCol w:w="4780"/>
        <w:gridCol w:w="2240"/>
      </w:tblGrid>
      <w:tr>
        <w:trPr>
          <w:cantSplit/>
          <w:tblHeader/>
        </w:trPr>
        <w:tc>
          <w:tcPr>
            <w:tcW w:type="dxa" w:w="2340"/>
            <w:shd w:fill="1F3864" w:color="auto" w:val="clear"/>
            <w:tcMar>
              <w:top w:type="dxa" w:w="80"/>
              <w:left w:type="dxa" w:w="120"/>
              <w:bottom w:type="dxa" w:w="80"/>
              <w:right w:type="dxa" w:w="120"/>
            </w:tcMar>
          </w:tcPr>
          <w:p>
            <w:pPr>
              <w:spacing w:after="0" w:before="0" w:line="240"/>
              <w:jc w:val="left"/>
            </w:pPr>
            <w:r>
              <w:rPr>
                <w:rFonts w:ascii="Arial" w:cs="Arial" w:eastAsia="Arial" w:hAnsi="Arial"/>
                <w:b/>
                <w:bCs/>
                <w:color w:val="FFFFFF"/>
                <w:sz w:val="20"/>
                <w:szCs w:val="20"/>
              </w:rPr>
              <w:t xml:space="preserve">Company claim</w:t>
            </w:r>
          </w:p>
        </w:tc>
        <w:tc>
          <w:tcPr>
            <w:tcW w:type="dxa" w:w="4780"/>
            <w:shd w:fill="1F3864" w:color="auto" w:val="clear"/>
            <w:tcMar>
              <w:top w:type="dxa" w:w="80"/>
              <w:left w:type="dxa" w:w="120"/>
              <w:bottom w:type="dxa" w:w="80"/>
              <w:right w:type="dxa" w:w="120"/>
            </w:tcMar>
          </w:tcPr>
          <w:p>
            <w:pPr>
              <w:spacing w:after="0" w:before="0" w:line="240"/>
              <w:jc w:val="left"/>
            </w:pPr>
            <w:r>
              <w:rPr>
                <w:rFonts w:ascii="Arial" w:cs="Arial" w:eastAsia="Arial" w:hAnsi="Arial"/>
                <w:b/>
                <w:bCs/>
                <w:color w:val="FFFFFF"/>
                <w:sz w:val="20"/>
                <w:szCs w:val="20"/>
              </w:rPr>
              <w:t xml:space="preserve">Outside evidence</w:t>
            </w:r>
          </w:p>
        </w:tc>
        <w:tc>
          <w:tcPr>
            <w:tcW w:type="dxa" w:w="2240"/>
            <w:shd w:fill="1F3864" w:color="auto" w:val="clear"/>
            <w:tcMar>
              <w:top w:type="dxa" w:w="80"/>
              <w:left w:type="dxa" w:w="120"/>
              <w:bottom w:type="dxa" w:w="80"/>
              <w:right w:type="dxa" w:w="120"/>
            </w:tcMar>
          </w:tcPr>
          <w:p>
            <w:pPr>
              <w:spacing w:after="0" w:before="0" w:line="240"/>
              <w:jc w:val="left"/>
            </w:pPr>
            <w:r>
              <w:rPr>
                <w:rFonts w:ascii="Arial" w:cs="Arial" w:eastAsia="Arial" w:hAnsi="Arial"/>
                <w:b/>
                <w:bCs/>
                <w:color w:val="FFFFFF"/>
                <w:sz w:val="20"/>
                <w:szCs w:val="20"/>
              </w:rPr>
              <w:t xml:space="preserve">Verdict</w:t>
            </w:r>
          </w:p>
        </w:tc>
      </w:tr>
      <w:tr>
        <w:trPr>
          <w:cantSplit/>
          <w:tblHeader w:val="false"/>
        </w:trPr>
        <w:tc>
          <w:tcPr>
            <w:tcW w:type="dxa" w:w="2340"/>
            <w:tcMar>
              <w:top w:type="dxa" w:w="80"/>
              <w:left w:type="dxa" w:w="120"/>
              <w:bottom w:type="dxa" w:w="80"/>
              <w:right w:type="dxa" w:w="120"/>
            </w:tcMar>
          </w:tcPr>
          <w:p>
            <w:pPr>
              <w:spacing w:after="0" w:before="0" w:line="240"/>
              <w:jc w:val="left"/>
            </w:pPr>
            <w:r>
              <w:rPr>
                <w:rFonts w:ascii="Arial" w:cs="Arial" w:eastAsia="Arial" w:hAnsi="Arial"/>
                <w:b w:val="false"/>
                <w:bCs w:val="false"/>
                <w:sz w:val="20"/>
                <w:szCs w:val="20"/>
              </w:rPr>
              <w:t xml:space="preserve">Its network scale is difficult to reproduce</w:t>
            </w:r>
          </w:p>
        </w:tc>
        <w:tc>
          <w:tcPr>
            <w:tcW w:type="dxa" w:w="4780"/>
            <w:tcMar>
              <w:top w:type="dxa" w:w="80"/>
              <w:left w:type="dxa" w:w="120"/>
              <w:bottom w:type="dxa" w:w="80"/>
              <w:right w:type="dxa" w:w="120"/>
            </w:tcMar>
          </w:tcPr>
          <w:p>
            <w:pPr>
              <w:spacing w:after="0" w:before="0" w:line="240"/>
              <w:jc w:val="left"/>
            </w:pPr>
            <w:r>
              <w:rPr>
                <w:rFonts w:ascii="Arial" w:cs="Arial" w:eastAsia="Arial" w:hAnsi="Arial"/>
                <w:b w:val="false"/>
                <w:bCs w:val="false"/>
                <w:sz w:val="20"/>
                <w:szCs w:val="20"/>
              </w:rPr>
              <w:t xml:space="preserve">BIS finds the Visa/Mastercard share of card transactions stable at ~95% for a decade despite payment-app proliferation</w:t>
            </w:r>
          </w:p>
        </w:tc>
        <w:tc>
          <w:tcPr>
            <w:tcW w:type="dxa" w:w="2240"/>
            <w:tcMar>
              <w:top w:type="dxa" w:w="80"/>
              <w:left w:type="dxa" w:w="120"/>
              <w:bottom w:type="dxa" w:w="80"/>
              <w:right w:type="dxa" w:w="120"/>
            </w:tcMar>
          </w:tcPr>
          <w:p>
            <w:pPr>
              <w:spacing w:after="0" w:before="0" w:line="240"/>
              <w:jc w:val="left"/>
            </w:pPr>
            <w:r>
              <w:rPr>
                <w:rFonts w:ascii="Arial" w:cs="Arial" w:eastAsia="Arial" w:hAnsi="Arial"/>
                <w:b w:val="false"/>
                <w:bCs w:val="false"/>
                <w:sz w:val="20"/>
                <w:szCs w:val="20"/>
              </w:rPr>
              <w:t xml:space="preserve">Supported</w:t>
            </w:r>
          </w:p>
        </w:tc>
      </w:tr>
      <w:tr>
        <w:trPr>
          <w:cantSplit/>
          <w:tblHeader w:val="false"/>
        </w:trPr>
        <w:tc>
          <w:tcPr>
            <w:tcW w:type="dxa" w:w="2340"/>
            <w:shd w:fill="F4F6FA" w:color="auto" w:val="clear"/>
            <w:tcMar>
              <w:top w:type="dxa" w:w="80"/>
              <w:left w:type="dxa" w:w="120"/>
              <w:bottom w:type="dxa" w:w="80"/>
              <w:right w:type="dxa" w:w="120"/>
            </w:tcMar>
          </w:tcPr>
          <w:p>
            <w:pPr>
              <w:spacing w:after="0" w:before="0" w:line="240"/>
              <w:jc w:val="left"/>
            </w:pPr>
            <w:r>
              <w:rPr>
                <w:rFonts w:ascii="Arial" w:cs="Arial" w:eastAsia="Arial" w:hAnsi="Arial"/>
                <w:b w:val="false"/>
                <w:bCs w:val="false"/>
                <w:sz w:val="20"/>
                <w:szCs w:val="20"/>
              </w:rPr>
              <w:t xml:space="preserve">It faces competition from real-time and account-to-account rails</w:t>
            </w:r>
          </w:p>
        </w:tc>
        <w:tc>
          <w:tcPr>
            <w:tcW w:type="dxa" w:w="4780"/>
            <w:shd w:fill="F4F6FA" w:color="auto" w:val="clear"/>
            <w:tcMar>
              <w:top w:type="dxa" w:w="80"/>
              <w:left w:type="dxa" w:w="120"/>
              <w:bottom w:type="dxa" w:w="80"/>
              <w:right w:type="dxa" w:w="120"/>
            </w:tcMar>
          </w:tcPr>
          <w:p>
            <w:pPr>
              <w:spacing w:after="0" w:before="0" w:line="240"/>
              <w:jc w:val="left"/>
            </w:pPr>
            <w:r>
              <w:rPr>
                <w:rFonts w:ascii="Arial" w:cs="Arial" w:eastAsia="Arial" w:hAnsi="Arial"/>
                <w:b w:val="false"/>
                <w:bCs w:val="false"/>
                <w:sz w:val="20"/>
                <w:szCs w:val="20"/>
              </w:rPr>
              <w:t xml:space="preserve">True, and material — but RBI and BCB data show the displacement falls on debit and cash, not credit</w:t>
            </w:r>
          </w:p>
        </w:tc>
        <w:tc>
          <w:tcPr>
            <w:tcW w:type="dxa" w:w="2240"/>
            <w:shd w:fill="F4F6FA" w:color="auto" w:val="clear"/>
            <w:tcMar>
              <w:top w:type="dxa" w:w="80"/>
              <w:left w:type="dxa" w:w="120"/>
              <w:bottom w:type="dxa" w:w="80"/>
              <w:right w:type="dxa" w:w="120"/>
            </w:tcMar>
          </w:tcPr>
          <w:p>
            <w:pPr>
              <w:spacing w:after="0" w:before="0" w:line="240"/>
              <w:jc w:val="left"/>
            </w:pPr>
            <w:r>
              <w:rPr>
                <w:rFonts w:ascii="Arial" w:cs="Arial" w:eastAsia="Arial" w:hAnsi="Arial"/>
                <w:b w:val="false"/>
                <w:bCs w:val="false"/>
                <w:sz w:val="20"/>
                <w:szCs w:val="20"/>
              </w:rPr>
              <w:t xml:space="preserve">Partially supported; the risk is real but mislocated if read as general</w:t>
            </w:r>
          </w:p>
        </w:tc>
      </w:tr>
      <w:tr>
        <w:trPr>
          <w:cantSplit/>
          <w:tblHeader w:val="false"/>
        </w:trPr>
        <w:tc>
          <w:tcPr>
            <w:tcW w:type="dxa" w:w="2340"/>
            <w:tcMar>
              <w:top w:type="dxa" w:w="80"/>
              <w:left w:type="dxa" w:w="120"/>
              <w:bottom w:type="dxa" w:w="80"/>
              <w:right w:type="dxa" w:w="120"/>
            </w:tcMar>
          </w:tcPr>
          <w:p>
            <w:pPr>
              <w:spacing w:after="0" w:before="0" w:line="240"/>
              <w:jc w:val="left"/>
            </w:pPr>
            <w:r>
              <w:rPr>
                <w:rFonts w:ascii="Arial" w:cs="Arial" w:eastAsia="Arial" w:hAnsi="Arial"/>
                <w:b w:val="false"/>
                <w:bCs w:val="false"/>
                <w:sz w:val="20"/>
                <w:szCs w:val="20"/>
              </w:rPr>
              <w:t xml:space="preserve">Regulation is a principal risk</w:t>
            </w:r>
          </w:p>
        </w:tc>
        <w:tc>
          <w:tcPr>
            <w:tcW w:type="dxa" w:w="4780"/>
            <w:tcMar>
              <w:top w:type="dxa" w:w="80"/>
              <w:left w:type="dxa" w:w="120"/>
              <w:bottom w:type="dxa" w:w="80"/>
              <w:right w:type="dxa" w:w="120"/>
            </w:tcMar>
          </w:tcPr>
          <w:p>
            <w:pPr>
              <w:spacing w:after="0" w:before="0" w:line="240"/>
              <w:jc w:val="left"/>
            </w:pPr>
            <w:r>
              <w:rPr>
                <w:rFonts w:ascii="Arial" w:cs="Arial" w:eastAsia="Arial" w:hAnsi="Arial"/>
                <w:b w:val="false"/>
                <w:bCs w:val="false"/>
                <w:sz w:val="20"/>
                <w:szCs w:val="20"/>
              </w:rPr>
              <w:t xml:space="preserve">Every regime to date has capped interchange, not network fees; the Fed measures US network fees flat at 0.28% of value from 2011 to 2023</w:t>
            </w:r>
          </w:p>
        </w:tc>
        <w:tc>
          <w:tcPr>
            <w:tcW w:type="dxa" w:w="2240"/>
            <w:tcMar>
              <w:top w:type="dxa" w:w="80"/>
              <w:left w:type="dxa" w:w="120"/>
              <w:bottom w:type="dxa" w:w="80"/>
              <w:right w:type="dxa" w:w="120"/>
            </w:tcMar>
          </w:tcPr>
          <w:p>
            <w:pPr>
              <w:spacing w:after="0" w:before="0" w:line="240"/>
              <w:jc w:val="left"/>
            </w:pPr>
            <w:r>
              <w:rPr>
                <w:rFonts w:ascii="Arial" w:cs="Arial" w:eastAsia="Arial" w:hAnsi="Arial"/>
                <w:b w:val="false"/>
                <w:bCs w:val="false"/>
                <w:sz w:val="20"/>
                <w:szCs w:val="20"/>
              </w:rPr>
              <w:t xml:space="preserve">Contradicted as applied to date; PSR and RBA 2025–26 work makes it more credible prospectively</w:t>
            </w:r>
          </w:p>
        </w:tc>
      </w:tr>
      <w:tr>
        <w:trPr>
          <w:cantSplit/>
          <w:tblHeader w:val="false"/>
        </w:trPr>
        <w:tc>
          <w:tcPr>
            <w:tcW w:type="dxa" w:w="2340"/>
            <w:shd w:fill="F4F6FA" w:color="auto" w:val="clear"/>
            <w:tcMar>
              <w:top w:type="dxa" w:w="80"/>
              <w:left w:type="dxa" w:w="120"/>
              <w:bottom w:type="dxa" w:w="80"/>
              <w:right w:type="dxa" w:w="120"/>
            </w:tcMar>
          </w:tcPr>
          <w:p>
            <w:pPr>
              <w:spacing w:after="0" w:before="0" w:line="240"/>
              <w:jc w:val="left"/>
            </w:pPr>
            <w:r>
              <w:rPr>
                <w:rFonts w:ascii="Arial" w:cs="Arial" w:eastAsia="Arial" w:hAnsi="Arial"/>
                <w:b w:val="false"/>
                <w:bCs w:val="false"/>
                <w:sz w:val="20"/>
                <w:szCs w:val="20"/>
              </w:rPr>
              <w:t xml:space="preserve">It competes with payment processors for the processing of Visa transactions</w:t>
            </w:r>
          </w:p>
        </w:tc>
        <w:tc>
          <w:tcPr>
            <w:tcW w:type="dxa" w:w="4780"/>
            <w:shd w:fill="F4F6FA" w:color="auto" w:val="clear"/>
            <w:tcMar>
              <w:top w:type="dxa" w:w="80"/>
              <w:left w:type="dxa" w:w="120"/>
              <w:bottom w:type="dxa" w:w="80"/>
              <w:right w:type="dxa" w:w="120"/>
            </w:tcMar>
          </w:tcPr>
          <w:p>
            <w:pPr>
              <w:spacing w:after="0" w:before="0" w:line="240"/>
              <w:jc w:val="left"/>
            </w:pPr>
            <w:r>
              <w:rPr>
                <w:rFonts w:ascii="Arial" w:cs="Arial" w:eastAsia="Arial" w:hAnsi="Arial"/>
                <w:b w:val="false"/>
                <w:bCs w:val="false"/>
                <w:sz w:val="20"/>
                <w:szCs w:val="20"/>
              </w:rPr>
              <w:t xml:space="preserve">Reg II's card-not-present routing extension took effect July 2023; DOJ alleges de facto exclusivity foreclosing at least 45% of US debit volume, and the motion to dismiss was denied in full in June 2025</w:t>
            </w:r>
          </w:p>
        </w:tc>
        <w:tc>
          <w:tcPr>
            <w:tcW w:type="dxa" w:w="2240"/>
            <w:shd w:fill="F4F6FA" w:color="auto" w:val="clear"/>
            <w:tcMar>
              <w:top w:type="dxa" w:w="80"/>
              <w:left w:type="dxa" w:w="120"/>
              <w:bottom w:type="dxa" w:w="80"/>
              <w:right w:type="dxa" w:w="120"/>
            </w:tcMar>
          </w:tcPr>
          <w:p>
            <w:pPr>
              <w:spacing w:after="0" w:before="0" w:line="240"/>
              <w:jc w:val="left"/>
            </w:pPr>
            <w:r>
              <w:rPr>
                <w:rFonts w:ascii="Arial" w:cs="Arial" w:eastAsia="Arial" w:hAnsi="Arial"/>
                <w:b w:val="false"/>
                <w:bCs w:val="false"/>
                <w:sz w:val="20"/>
                <w:szCs w:val="20"/>
              </w:rPr>
              <w:t xml:space="preserve">Supported, and the more serious of Visa's stated risks</w:t>
            </w:r>
          </w:p>
        </w:tc>
      </w:tr>
    </w:tbl>
    <w:p>
      <w:pPr>
        <w:spacing w:after="140" w:line="264"/>
      </w:pPr>
      <w:r>
        <w:rPr>
          <w:rFonts w:ascii="Arial" w:cs="Arial" w:eastAsia="Arial" w:hAnsi="Arial"/>
          <w:sz w:val="22"/>
          <w:szCs w:val="22"/>
        </w:rPr>
        <w:t xml:space="preserve">What kind of company wins here is therefore specific: the one that owns the switch and refuses to own the credit. It earns a fraction of a percent of an enormous base, requires almost no capital to carry more of it, and sits in the one link of the chain that regulators have consistently declined to price. Visa is that kind of company — more purely so than any of its listed comparables, and the reason its margin is the highest in the chain is that it has the least to do with the money.</w:t>
      </w:r>
    </w:p>
    <w:p>
      <w:r>
        <w:br w:type="page"/>
      </w:r>
    </w:p>
    <w:p>
      <w:pPr>
        <w:pStyle w:val="Heading1"/>
        <w:spacing w:after="200" w:before="360"/>
      </w:pPr>
      <w:r>
        <w:rPr>
          <w:rFonts w:ascii="Arial" w:cs="Arial" w:eastAsia="Arial" w:hAnsi="Arial"/>
          <w:b/>
          <w:bCs/>
          <w:color w:val="1F3864"/>
          <w:sz w:val="32"/>
          <w:szCs w:val="32"/>
        </w:rPr>
        <w:t xml:space="preserve">4. Growth Engine</w:t>
      </w:r>
    </w:p>
    <w:p>
      <w:pPr>
        <w:spacing w:after="140" w:line="264"/>
      </w:pPr>
      <w:r>
        <w:rPr>
          <w:rFonts w:ascii="Arial" w:cs="Arial" w:eastAsia="Arial" w:hAnsi="Arial"/>
          <w:sz w:val="22"/>
          <w:szCs w:val="22"/>
        </w:rPr>
        <w:t xml:space="preserve">Visa's revenue growth decomposes cleanly, because the company discloses the driver behind each revenue line. In FY2025, net revenue grew 11% to $40.0 billion. Service revenue rose 9% on nominal payments volume growth of 7% plus select pricing modifications and card benefits. Data processing revenue rose 13% on processed transaction growth of 10% plus select pricing modifications. International transaction revenue rose 12% on cross-border volume growth of 13% excluding intra-Europe, helped by currency volatility and held back by business mix. Other revenue rose 27% on advisory and other services plus pricing (FY2025 10-K).</w:t>
      </w:r>
    </w:p>
    <w:p>
      <w:pPr>
        <w:spacing w:after="140" w:line="264"/>
      </w:pPr>
      <w:r>
        <w:rPr>
          <w:rFonts w:ascii="Arial" w:cs="Arial" w:eastAsia="Arial" w:hAnsi="Arial"/>
          <w:sz w:val="22"/>
          <w:szCs w:val="22"/>
        </w:rPr>
        <w:t xml:space="preserve">Two things follow from that decomposition. First, in every line the volume driver and the revenue outcome differ by two to three percentage points, and the difference is disclosed as pricing. Visa is therefore taking price annually, in modest increments, on top of volume — but the gap is narrow enough that pricing is a supplement to the engine, not the engine. Second, transaction count is growing faster than payments volume (10% against 7%), which means the average ticket is falling as cards displace cash at the low-value end. Because data processing revenue is assessed per transaction and service revenue on value, this mix shift quietly moves the revenue base toward the per-transaction line — a structurally better place to sit, because it is indifferent to the price level.</w:t>
      </w:r>
    </w:p>
    <w:p>
      <w:pPr>
        <w:spacing w:after="140" w:line="264"/>
      </w:pPr>
      <w:r>
        <w:rPr>
          <w:rFonts w:ascii="Arial" w:cs="Arial" w:eastAsia="Arial" w:hAnsi="Arial"/>
          <w:sz w:val="22"/>
          <w:szCs w:val="22"/>
        </w:rPr>
        <w:t xml:space="preserve">Through the June 2026 quarter the engine has accelerated rather than slowed. Net revenue grew 14% in the quarter and 15% over the nine months, on processed transaction growth of 10% and 9% and cross-border volume growth of 14% and 15% excluding intra-Europe (FY2026 Q3 10-Q).</w:t>
      </w:r>
    </w:p>
    <w:p>
      <w:pPr>
        <w:pStyle w:val="Heading2"/>
        <w:spacing w:after="180" w:before="180"/>
      </w:pPr>
      <w:r>
        <w:rPr>
          <w:rFonts w:ascii="Arial" w:cs="Arial" w:eastAsia="Arial" w:hAnsi="Arial"/>
          <w:b/>
          <w:bCs/>
          <w:color w:val="1F3864"/>
          <w:sz w:val="28"/>
          <w:szCs w:val="28"/>
        </w:rPr>
        <w:t xml:space="preserve">Reported growth versus organic</w:t>
      </w:r>
    </w:p>
    <w:p>
      <w:pPr>
        <w:spacing w:after="140" w:line="264"/>
      </w:pPr>
      <w:r>
        <w:rPr>
          <w:rFonts w:ascii="Arial" w:cs="Arial" w:eastAsia="Arial" w:hAnsi="Arial"/>
          <w:sz w:val="22"/>
          <w:szCs w:val="22"/>
        </w:rPr>
        <w:t xml:space="preserve">One acquisition is material enough to matter and it cannot be separated out. Visa acquired Prisma and Newpay in Argentina in February 2026 for $1.5 billion in cash, and it does not disclose the revenue contribution (FY2026 Q3 10-Q). The 14% and 15% growth rates above are therefore reported, not organic, and the filings do not permit the decomposition. Two indirect readings bound it. The consideration is 3.4% of last-twelve-months net revenue of $44.5 billion, so on any plausible revenue-to-price relationship the contribution is low single-digit percentage points at most (inferred). And Visa attributes the revenue increase to cross-border volume, payments volume and processed transactions, with acquisitions named only as a driver of personnel, network and professional-fee expenses — which suggests the effect is larger on the cost line than the revenue line. This remains an open question and is carried into Section 7.</w:t>
      </w:r>
    </w:p>
    <w:p>
      <w:pPr>
        <w:pStyle w:val="Heading2"/>
        <w:spacing w:after="180" w:before="180"/>
      </w:pPr>
      <w:r>
        <w:rPr>
          <w:rFonts w:ascii="Arial" w:cs="Arial" w:eastAsia="Arial" w:hAnsi="Arial"/>
          <w:b/>
          <w:bCs/>
          <w:color w:val="1F3864"/>
          <w:sz w:val="28"/>
          <w:szCs w:val="28"/>
        </w:rPr>
        <w:t xml:space="preserve">The drivers, ranked</w:t>
      </w:r>
    </w:p>
    <w:p>
      <w:pPr>
        <w:pStyle w:val="ListParagraph"/>
        <w:numPr>
          <w:ilvl w:val="0"/>
          <w:numId w:val="2"/>
        </w:numPr>
        <w:spacing w:after="110" w:line="264"/>
      </w:pPr>
      <w:r>
        <w:rPr>
          <w:rFonts w:ascii="Arial" w:cs="Arial" w:eastAsia="Arial" w:hAnsi="Arial"/>
          <w:b/>
          <w:bCs/>
          <w:sz w:val="22"/>
          <w:szCs w:val="22"/>
        </w:rPr>
        <w:t xml:space="preserve">Cash displacement — structural. </w:t>
      </w:r>
      <w:r>
        <w:rPr>
          <w:rFonts w:ascii="Arial" w:cs="Arial" w:eastAsia="Arial" w:hAnsi="Arial"/>
          <w:sz w:val="22"/>
          <w:szCs w:val="22"/>
        </w:rPr>
        <w:t xml:space="preserve">The largest and slowest driver. Cash was still 52% of euro-area point-of-sale transactions by number in 2024 (ECB SPACE 2024) and cash in circulation remains around 9% of GDP in advanced economies (BIS). Every point of that conversion arrives on Visa's existing network at essentially zero incremental cost. It requires nothing of management and it does not stop in a recession.</w:t>
      </w:r>
    </w:p>
    <w:p>
      <w:pPr>
        <w:pStyle w:val="ListParagraph"/>
        <w:numPr>
          <w:ilvl w:val="0"/>
          <w:numId w:val="2"/>
        </w:numPr>
        <w:spacing w:after="110" w:line="264"/>
      </w:pPr>
      <w:r>
        <w:rPr>
          <w:rFonts w:ascii="Arial" w:cs="Arial" w:eastAsia="Arial" w:hAnsi="Arial"/>
          <w:b/>
          <w:bCs/>
          <w:sz w:val="22"/>
          <w:szCs w:val="22"/>
        </w:rPr>
        <w:t xml:space="preserve">Value-added services attach — management-driven. </w:t>
      </w:r>
      <w:r>
        <w:rPr>
          <w:rFonts w:ascii="Arial" w:cs="Arial" w:eastAsia="Arial" w:hAnsi="Arial"/>
          <w:sz w:val="22"/>
          <w:szCs w:val="22"/>
        </w:rPr>
        <w:t xml:space="preserve">$10.9 billion in FY2025, up 24%, and up 33% in the June 2026 quarter, reaching roughly 30% of last-twelve-months net revenue against 22% in FY2023 (inferred). This is the fastest line, it is sold into the installed base rather than won from competitors, and no regulator has capped its price. It is the one growth lever genuinely inside management's control.</w:t>
      </w:r>
    </w:p>
    <w:p>
      <w:pPr>
        <w:pStyle w:val="ListParagraph"/>
        <w:numPr>
          <w:ilvl w:val="0"/>
          <w:numId w:val="2"/>
        </w:numPr>
        <w:spacing w:after="110" w:line="264"/>
      </w:pPr>
      <w:r>
        <w:rPr>
          <w:rFonts w:ascii="Arial" w:cs="Arial" w:eastAsia="Arial" w:hAnsi="Arial"/>
          <w:b/>
          <w:bCs/>
          <w:sz w:val="22"/>
          <w:szCs w:val="22"/>
        </w:rPr>
        <w:t xml:space="preserve">Cross-border volume — cyclical, with a structural floor. </w:t>
      </w:r>
      <w:r>
        <w:rPr>
          <w:rFonts w:ascii="Arial" w:cs="Arial" w:eastAsia="Arial" w:hAnsi="Arial"/>
          <w:sz w:val="22"/>
          <w:szCs w:val="22"/>
        </w:rPr>
        <w:t xml:space="preserve">Up 13% in FY2025 and 14–15% through the June 2026 quarter, on the highest-yielding line in the business. Cross-border ecommerce is the structural half; travel is the cyclical half, and Section 6 shows what it does in a downturn.</w:t>
      </w:r>
    </w:p>
    <w:p>
      <w:pPr>
        <w:pStyle w:val="ListParagraph"/>
        <w:numPr>
          <w:ilvl w:val="0"/>
          <w:numId w:val="2"/>
        </w:numPr>
        <w:spacing w:after="110" w:line="264"/>
      </w:pPr>
      <w:r>
        <w:rPr>
          <w:rFonts w:ascii="Arial" w:cs="Arial" w:eastAsia="Arial" w:hAnsi="Arial"/>
          <w:b/>
          <w:bCs/>
          <w:sz w:val="22"/>
          <w:szCs w:val="22"/>
        </w:rPr>
        <w:t xml:space="preserve">Pricing modifications — management-driven, incremental. </w:t>
      </w:r>
      <w:r>
        <w:rPr>
          <w:rFonts w:ascii="Arial" w:cs="Arial" w:eastAsia="Arial" w:hAnsi="Arial"/>
          <w:sz w:val="22"/>
          <w:szCs w:val="22"/>
        </w:rPr>
        <w:t xml:space="preserve">Worth roughly two to three percentage points of growth per line in FY2025, taken annually. It is real and it is repeatable, but it is also the component most exposed to the scheme-fee scrutiny described in Section 3.</w:t>
      </w:r>
    </w:p>
    <w:p>
      <w:pPr>
        <w:pStyle w:val="ListParagraph"/>
        <w:numPr>
          <w:ilvl w:val="0"/>
          <w:numId w:val="2"/>
        </w:numPr>
        <w:spacing w:after="110" w:line="264"/>
      </w:pPr>
      <w:r>
        <w:rPr>
          <w:rFonts w:ascii="Arial" w:cs="Arial" w:eastAsia="Arial" w:hAnsi="Arial"/>
          <w:b/>
          <w:bCs/>
          <w:sz w:val="22"/>
          <w:szCs w:val="22"/>
        </w:rPr>
        <w:t xml:space="preserve">Geographic mix — structural. </w:t>
      </w:r>
      <w:r>
        <w:rPr>
          <w:rFonts w:ascii="Arial" w:cs="Arial" w:eastAsia="Arial" w:hAnsi="Arial"/>
          <w:sz w:val="22"/>
          <w:szCs w:val="22"/>
        </w:rPr>
        <w:t xml:space="preserve">The United States fell from 43% of net revenue in FY2023 to 39% in FY2025 (FY2025 10-K), not because US revenue shrank — it grew 6% in FY2025 — but because international grew 15%. The growth is coming from the markets where cash share is highest, which is the same driver as the first bullet arriving through a different door.</w:t>
      </w:r>
    </w:p>
    <w:p>
      <w:pPr>
        <w:pStyle w:val="ListParagraph"/>
        <w:numPr>
          <w:ilvl w:val="0"/>
          <w:numId w:val="2"/>
        </w:numPr>
        <w:spacing w:after="110" w:line="264"/>
      </w:pPr>
      <w:r>
        <w:rPr>
          <w:rFonts w:ascii="Arial" w:cs="Arial" w:eastAsia="Arial" w:hAnsi="Arial"/>
          <w:b/>
          <w:bCs/>
          <w:sz w:val="22"/>
          <w:szCs w:val="22"/>
        </w:rPr>
        <w:t xml:space="preserve">Acquisitions — temporary and small. </w:t>
      </w:r>
      <w:r>
        <w:rPr>
          <w:rFonts w:ascii="Arial" w:cs="Arial" w:eastAsia="Arial" w:hAnsi="Arial"/>
          <w:sz w:val="22"/>
          <w:szCs w:val="22"/>
        </w:rPr>
        <w:t xml:space="preserve">$887 million in FY2025 and $705 million in the first nine months of FY2026, against $18.3 billion of buybacks in FY2025. Prisma at $1.5 billion is the largest in years and is still 3.4% of annual revenue (inferred). M&amp;A is not how this business grows.</w:t>
      </w:r>
    </w:p>
    <w:p>
      <w:pPr>
        <w:spacing w:after="140" w:line="264"/>
      </w:pPr>
      <w:r>
        <w:rPr>
          <w:rFonts w:ascii="Arial" w:cs="Arial" w:eastAsia="Arial" w:hAnsi="Arial"/>
          <w:sz w:val="22"/>
          <w:szCs w:val="22"/>
        </w:rPr>
        <w:t xml:space="preserve">What is conspicuously absent from the list is new customers. Visa does not grow by adding merchants or cardholders in any meaningful sense — it already reaches approximately 12 billion endpoints and more than 175 million merchant locations. It grows because the transactions those endpoints already generate keep migrating onto its rails, and because it keeps finding more to sell on each one.</w:t>
      </w:r>
    </w:p>
    <w:p>
      <w:r>
        <w:br w:type="page"/>
      </w:r>
    </w:p>
    <w:p>
      <w:pPr>
        <w:pStyle w:val="Heading1"/>
        <w:spacing w:after="200" w:before="360"/>
      </w:pPr>
      <w:r>
        <w:rPr>
          <w:rFonts w:ascii="Arial" w:cs="Arial" w:eastAsia="Arial" w:hAnsi="Arial"/>
          <w:b/>
          <w:bCs/>
          <w:color w:val="1F3864"/>
          <w:sz w:val="32"/>
          <w:szCs w:val="32"/>
        </w:rPr>
        <w:t xml:space="preserve">5. Margin, Cash and Capital Allocation</w:t>
      </w:r>
    </w:p>
    <w:p>
      <w:pPr>
        <w:spacing w:after="140" w:line="264"/>
      </w:pPr>
      <w:r>
        <w:rPr>
          <w:rFonts w:ascii="Arial" w:cs="Arial" w:eastAsia="Arial" w:hAnsi="Arial"/>
          <w:sz w:val="22"/>
          <w:szCs w:val="22"/>
        </w:rPr>
        <w:t xml:space="preserve">Visa's margin arises from a cost base that is almost entirely fixed against a revenue base that is almost entirely variable. Operating the switch costs what it costs: network and processing expense was $894 million in FY2025 against $40.0 billion of net revenue, or 2.2% (FY2025 10-K; ratio inferred). Carrying one more transaction across an already-built network costs close to nothing, so incremental margin approaches the incremental revenue. The largest expense is people — $7.0 billion of personnel against 34,100 employees — and people are added deliberately, not in proportion to volume.</w:t>
      </w:r>
    </w:p>
    <w:p>
      <w:pPr>
        <w:spacing w:after="140" w:line="264"/>
      </w:pPr>
      <w:r>
        <w:rPr>
          <w:rFonts w:ascii="Arial" w:cs="Arial" w:eastAsia="Arial" w:hAnsi="Arial"/>
          <w:sz w:val="22"/>
          <w:szCs w:val="22"/>
        </w:rPr>
        <w:t xml:space="preserve">The reported operating margin fell to 60.0% in FY2025 from 65.7% in FY2024, and the cause is entirely one line. The litigation provision was $2,562 million against $462 million the prior year, reflecting additional accruals of $2.2 billion for the interchange multidistrict litigation. Excluding it, the FY2025 operating margin was 66.4% — the highest in the ten-year series (inferred). The underlying margin did not deteriorate; a legal settlement was recognised.</w:t>
      </w:r>
    </w:p>
    <w:p>
      <w:pPr>
        <w:pStyle w:val="Heading2"/>
        <w:spacing w:after="180" w:before="180"/>
      </w:pPr>
      <w:r>
        <w:rPr>
          <w:rFonts w:ascii="Arial" w:cs="Arial" w:eastAsia="Arial" w:hAnsi="Arial"/>
          <w:b/>
          <w:bCs/>
          <w:color w:val="1F3864"/>
          <w:sz w:val="28"/>
          <w:szCs w:val="28"/>
        </w:rPr>
        <w:t xml:space="preserve">The one thing that genuinely compresses the margin</w:t>
      </w:r>
    </w:p>
    <w:p>
      <w:pPr>
        <w:spacing w:after="140" w:line="264"/>
      </w:pPr>
      <w:r>
        <w:rPr>
          <w:rFonts w:ascii="Arial" w:cs="Arial" w:eastAsia="Arial" w:hAnsi="Arial"/>
          <w:sz w:val="22"/>
          <w:szCs w:val="22"/>
        </w:rPr>
        <w:t xml:space="preserve">Client incentives are the real margin variable and they have moved in one direction for a decade. They were 18.4% of gross revenue in FY2016, 25.8% in FY2021 and 28.3% in FY2025 — approximately ten percentage points of gross revenue given back over nine years (computed from the FY2016, FY2021 and FY2025 10-Ks). In dollars, $15.8 billion was deducted in FY2025 alone, close to four times the FY2016 figure.</w:t>
      </w:r>
    </w:p>
    <w:p>
      <w:pPr>
        <w:spacing w:after="140" w:line="264"/>
      </w:pPr>
      <w:r>
        <w:rPr>
          <w:rFonts w:ascii="Arial" w:cs="Arial" w:eastAsia="Arial" w:hAnsi="Arial"/>
          <w:sz w:val="22"/>
          <w:szCs w:val="22"/>
        </w:rPr>
        <w:t xml:space="preserve">The mechanism is the duopoly described in Section 3. Because Visa and Mastercard compete for individual bank portfolios rather than on system-wide price, the contest for a large issuer's credential is settled with an upfront payment and a volume-linked rebate. Each renewal resets the price. The consequence is that Visa's gross pricing power and its net pricing power are different things: it can and does raise posted fees annually, and it hands a rising share of the proceeds back to keep the routing. That is why the take rate on payments volume has stayed close to 0.29% while gross fees rose. Anyone modelling Visa's pricing power from posted rates alone will overstate it.</w:t>
      </w:r>
    </w:p>
    <w:p>
      <w:pPr>
        <w:pStyle w:val="Heading2"/>
        <w:spacing w:after="180" w:before="180"/>
      </w:pPr>
      <w:r>
        <w:rPr>
          <w:rFonts w:ascii="Arial" w:cs="Arial" w:eastAsia="Arial" w:hAnsi="Arial"/>
          <w:b/>
          <w:bCs/>
          <w:color w:val="1F3864"/>
          <w:sz w:val="28"/>
          <w:szCs w:val="28"/>
        </w:rPr>
        <w:t xml:space="preserve">The financial spine</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3160"/>
        <w:gridCol w:w="1550"/>
        <w:gridCol w:w="1550"/>
        <w:gridCol w:w="1550"/>
        <w:gridCol w:w="1550"/>
      </w:tblGrid>
      <w:tr>
        <w:trPr>
          <w:cantSplit/>
          <w:tblHeader/>
        </w:trPr>
        <w:tc>
          <w:tcPr>
            <w:tcW w:type="dxa" w:w="3160"/>
            <w:shd w:fill="1F3864" w:color="auto" w:val="clear"/>
            <w:tcMar>
              <w:top w:type="dxa" w:w="80"/>
              <w:left w:type="dxa" w:w="120"/>
              <w:bottom w:type="dxa" w:w="80"/>
              <w:right w:type="dxa" w:w="120"/>
            </w:tcMar>
          </w:tcPr>
          <w:p>
            <w:pPr>
              <w:spacing w:after="0" w:before="0" w:line="240"/>
              <w:jc w:val="left"/>
            </w:pPr>
            <w:r>
              <w:rPr>
                <w:rFonts w:ascii="Arial" w:cs="Arial" w:eastAsia="Arial" w:hAnsi="Arial"/>
                <w:b/>
                <w:bCs/>
                <w:color w:val="FFFFFF"/>
                <w:sz w:val="20"/>
                <w:szCs w:val="20"/>
              </w:rPr>
              <w:t xml:space="preserve">$ millions unless stated</w:t>
            </w:r>
          </w:p>
        </w:tc>
        <w:tc>
          <w:tcPr>
            <w:tcW w:type="dxa" w:w="1550"/>
            <w:shd w:fill="1F3864" w:color="auto" w:val="clear"/>
            <w:tcMar>
              <w:top w:type="dxa" w:w="80"/>
              <w:left w:type="dxa" w:w="120"/>
              <w:bottom w:type="dxa" w:w="80"/>
              <w:right w:type="dxa" w:w="120"/>
            </w:tcMar>
          </w:tcPr>
          <w:p>
            <w:pPr>
              <w:spacing w:after="0" w:before="0" w:line="240"/>
              <w:jc w:val="left"/>
            </w:pPr>
            <w:r>
              <w:rPr>
                <w:rFonts w:ascii="Arial" w:cs="Arial" w:eastAsia="Arial" w:hAnsi="Arial"/>
                <w:b/>
                <w:bCs/>
                <w:color w:val="FFFFFF"/>
                <w:sz w:val="20"/>
                <w:szCs w:val="20"/>
              </w:rPr>
              <w:t xml:space="preserve">FY2016</w:t>
            </w:r>
          </w:p>
        </w:tc>
        <w:tc>
          <w:tcPr>
            <w:tcW w:type="dxa" w:w="1550"/>
            <w:shd w:fill="1F3864" w:color="auto" w:val="clear"/>
            <w:tcMar>
              <w:top w:type="dxa" w:w="80"/>
              <w:left w:type="dxa" w:w="120"/>
              <w:bottom w:type="dxa" w:w="80"/>
              <w:right w:type="dxa" w:w="120"/>
            </w:tcMar>
          </w:tcPr>
          <w:p>
            <w:pPr>
              <w:spacing w:after="0" w:before="0" w:line="240"/>
              <w:jc w:val="left"/>
            </w:pPr>
            <w:r>
              <w:rPr>
                <w:rFonts w:ascii="Arial" w:cs="Arial" w:eastAsia="Arial" w:hAnsi="Arial"/>
                <w:b/>
                <w:bCs/>
                <w:color w:val="FFFFFF"/>
                <w:sz w:val="20"/>
                <w:szCs w:val="20"/>
              </w:rPr>
              <w:t xml:space="preserve">FY2020</w:t>
            </w:r>
          </w:p>
        </w:tc>
        <w:tc>
          <w:tcPr>
            <w:tcW w:type="dxa" w:w="1550"/>
            <w:shd w:fill="1F3864" w:color="auto" w:val="clear"/>
            <w:tcMar>
              <w:top w:type="dxa" w:w="80"/>
              <w:left w:type="dxa" w:w="120"/>
              <w:bottom w:type="dxa" w:w="80"/>
              <w:right w:type="dxa" w:w="120"/>
            </w:tcMar>
          </w:tcPr>
          <w:p>
            <w:pPr>
              <w:spacing w:after="0" w:before="0" w:line="240"/>
              <w:jc w:val="left"/>
            </w:pPr>
            <w:r>
              <w:rPr>
                <w:rFonts w:ascii="Arial" w:cs="Arial" w:eastAsia="Arial" w:hAnsi="Arial"/>
                <w:b/>
                <w:bCs/>
                <w:color w:val="FFFFFF"/>
                <w:sz w:val="20"/>
                <w:szCs w:val="20"/>
              </w:rPr>
              <w:t xml:space="preserve">FY2023</w:t>
            </w:r>
          </w:p>
        </w:tc>
        <w:tc>
          <w:tcPr>
            <w:tcW w:type="dxa" w:w="1550"/>
            <w:shd w:fill="1F3864" w:color="auto" w:val="clear"/>
            <w:tcMar>
              <w:top w:type="dxa" w:w="80"/>
              <w:left w:type="dxa" w:w="120"/>
              <w:bottom w:type="dxa" w:w="80"/>
              <w:right w:type="dxa" w:w="120"/>
            </w:tcMar>
          </w:tcPr>
          <w:p>
            <w:pPr>
              <w:spacing w:after="0" w:before="0" w:line="240"/>
              <w:jc w:val="left"/>
            </w:pPr>
            <w:r>
              <w:rPr>
                <w:rFonts w:ascii="Arial" w:cs="Arial" w:eastAsia="Arial" w:hAnsi="Arial"/>
                <w:b/>
                <w:bCs/>
                <w:color w:val="FFFFFF"/>
                <w:sz w:val="20"/>
                <w:szCs w:val="20"/>
              </w:rPr>
              <w:t xml:space="preserve">FY2025</w:t>
            </w:r>
          </w:p>
        </w:tc>
      </w:tr>
      <w:tr>
        <w:trPr>
          <w:cantSplit/>
          <w:tblHeader w:val="false"/>
        </w:trPr>
        <w:tc>
          <w:tcPr>
            <w:tcW w:type="dxa" w:w="3160"/>
            <w:tcMar>
              <w:top w:type="dxa" w:w="80"/>
              <w:left w:type="dxa" w:w="120"/>
              <w:bottom w:type="dxa" w:w="80"/>
              <w:right w:type="dxa" w:w="120"/>
            </w:tcMar>
          </w:tcPr>
          <w:p>
            <w:pPr>
              <w:spacing w:after="0" w:before="0" w:line="240"/>
              <w:jc w:val="left"/>
            </w:pPr>
            <w:r>
              <w:rPr>
                <w:rFonts w:ascii="Arial" w:cs="Arial" w:eastAsia="Arial" w:hAnsi="Arial"/>
                <w:b w:val="false"/>
                <w:bCs w:val="false"/>
                <w:sz w:val="20"/>
                <w:szCs w:val="20"/>
              </w:rPr>
              <w:t xml:space="preserve">Net revenue</w:t>
            </w:r>
          </w:p>
        </w:tc>
        <w:tc>
          <w:tcPr>
            <w:tcW w:type="dxa" w:w="1550"/>
            <w:tcMar>
              <w:top w:type="dxa" w:w="80"/>
              <w:left w:type="dxa" w:w="120"/>
              <w:bottom w:type="dxa" w:w="80"/>
              <w:right w:type="dxa" w:w="120"/>
            </w:tcMar>
          </w:tcPr>
          <w:p>
            <w:pPr>
              <w:spacing w:after="0" w:before="0" w:line="240"/>
              <w:jc w:val="right"/>
            </w:pPr>
            <w:r>
              <w:rPr>
                <w:rFonts w:ascii="Arial" w:cs="Arial" w:eastAsia="Arial" w:hAnsi="Arial"/>
                <w:b w:val="false"/>
                <w:bCs w:val="false"/>
                <w:sz w:val="20"/>
                <w:szCs w:val="20"/>
              </w:rPr>
              <w:t xml:space="preserve">15,082</w:t>
            </w:r>
          </w:p>
        </w:tc>
        <w:tc>
          <w:tcPr>
            <w:tcW w:type="dxa" w:w="1550"/>
            <w:tcMar>
              <w:top w:type="dxa" w:w="80"/>
              <w:left w:type="dxa" w:w="120"/>
              <w:bottom w:type="dxa" w:w="80"/>
              <w:right w:type="dxa" w:w="120"/>
            </w:tcMar>
          </w:tcPr>
          <w:p>
            <w:pPr>
              <w:spacing w:after="0" w:before="0" w:line="240"/>
              <w:jc w:val="right"/>
            </w:pPr>
            <w:r>
              <w:rPr>
                <w:rFonts w:ascii="Arial" w:cs="Arial" w:eastAsia="Arial" w:hAnsi="Arial"/>
                <w:b w:val="false"/>
                <w:bCs w:val="false"/>
                <w:sz w:val="20"/>
                <w:szCs w:val="20"/>
              </w:rPr>
              <w:t xml:space="preserve">21,846</w:t>
            </w:r>
          </w:p>
        </w:tc>
        <w:tc>
          <w:tcPr>
            <w:tcW w:type="dxa" w:w="1550"/>
            <w:tcMar>
              <w:top w:type="dxa" w:w="80"/>
              <w:left w:type="dxa" w:w="120"/>
              <w:bottom w:type="dxa" w:w="80"/>
              <w:right w:type="dxa" w:w="120"/>
            </w:tcMar>
          </w:tcPr>
          <w:p>
            <w:pPr>
              <w:spacing w:after="0" w:before="0" w:line="240"/>
              <w:jc w:val="right"/>
            </w:pPr>
            <w:r>
              <w:rPr>
                <w:rFonts w:ascii="Arial" w:cs="Arial" w:eastAsia="Arial" w:hAnsi="Arial"/>
                <w:b w:val="false"/>
                <w:bCs w:val="false"/>
                <w:sz w:val="20"/>
                <w:szCs w:val="20"/>
              </w:rPr>
              <w:t xml:space="preserve">32,653</w:t>
            </w:r>
          </w:p>
        </w:tc>
        <w:tc>
          <w:tcPr>
            <w:tcW w:type="dxa" w:w="1550"/>
            <w:tcMar>
              <w:top w:type="dxa" w:w="80"/>
              <w:left w:type="dxa" w:w="120"/>
              <w:bottom w:type="dxa" w:w="80"/>
              <w:right w:type="dxa" w:w="120"/>
            </w:tcMar>
          </w:tcPr>
          <w:p>
            <w:pPr>
              <w:spacing w:after="0" w:before="0" w:line="240"/>
              <w:jc w:val="right"/>
            </w:pPr>
            <w:r>
              <w:rPr>
                <w:rFonts w:ascii="Arial" w:cs="Arial" w:eastAsia="Arial" w:hAnsi="Arial"/>
                <w:b w:val="false"/>
                <w:bCs w:val="false"/>
                <w:sz w:val="20"/>
                <w:szCs w:val="20"/>
              </w:rPr>
              <w:t xml:space="preserve">40,000</w:t>
            </w:r>
          </w:p>
        </w:tc>
      </w:tr>
      <w:tr>
        <w:trPr>
          <w:cantSplit/>
          <w:tblHeader w:val="false"/>
        </w:trPr>
        <w:tc>
          <w:tcPr>
            <w:tcW w:type="dxa" w:w="3160"/>
            <w:shd w:fill="F4F6FA" w:color="auto" w:val="clear"/>
            <w:tcMar>
              <w:top w:type="dxa" w:w="80"/>
              <w:left w:type="dxa" w:w="120"/>
              <w:bottom w:type="dxa" w:w="80"/>
              <w:right w:type="dxa" w:w="120"/>
            </w:tcMar>
          </w:tcPr>
          <w:p>
            <w:pPr>
              <w:spacing w:after="0" w:before="0" w:line="240"/>
              <w:jc w:val="left"/>
            </w:pPr>
            <w:r>
              <w:rPr>
                <w:rFonts w:ascii="Arial" w:cs="Arial" w:eastAsia="Arial" w:hAnsi="Arial"/>
                <w:b w:val="false"/>
                <w:bCs w:val="false"/>
                <w:sz w:val="20"/>
                <w:szCs w:val="20"/>
              </w:rPr>
              <w:t xml:space="preserve">Client incentives as % of gross revenue</w:t>
            </w:r>
          </w:p>
        </w:tc>
        <w:tc>
          <w:tcPr>
            <w:tcW w:type="dxa" w:w="1550"/>
            <w:shd w:fill="F4F6FA" w:color="auto" w:val="clear"/>
            <w:tcMar>
              <w:top w:type="dxa" w:w="80"/>
              <w:left w:type="dxa" w:w="120"/>
              <w:bottom w:type="dxa" w:w="80"/>
              <w:right w:type="dxa" w:w="120"/>
            </w:tcMar>
          </w:tcPr>
          <w:p>
            <w:pPr>
              <w:spacing w:after="0" w:before="0" w:line="240"/>
              <w:jc w:val="right"/>
            </w:pPr>
            <w:r>
              <w:rPr>
                <w:rFonts w:ascii="Arial" w:cs="Arial" w:eastAsia="Arial" w:hAnsi="Arial"/>
                <w:b w:val="false"/>
                <w:bCs w:val="false"/>
                <w:sz w:val="20"/>
                <w:szCs w:val="20"/>
              </w:rPr>
              <w:t xml:space="preserve">18.4%</w:t>
            </w:r>
          </w:p>
        </w:tc>
        <w:tc>
          <w:tcPr>
            <w:tcW w:type="dxa" w:w="1550"/>
            <w:shd w:fill="F4F6FA" w:color="auto" w:val="clear"/>
            <w:tcMar>
              <w:top w:type="dxa" w:w="80"/>
              <w:left w:type="dxa" w:w="120"/>
              <w:bottom w:type="dxa" w:w="80"/>
              <w:right w:type="dxa" w:w="120"/>
            </w:tcMar>
          </w:tcPr>
          <w:p>
            <w:pPr>
              <w:spacing w:after="0" w:before="0" w:line="240"/>
              <w:jc w:val="right"/>
            </w:pPr>
            <w:r>
              <w:rPr>
                <w:rFonts w:ascii="Arial" w:cs="Arial" w:eastAsia="Arial" w:hAnsi="Arial"/>
                <w:b w:val="false"/>
                <w:bCs w:val="false"/>
                <w:sz w:val="20"/>
                <w:szCs w:val="20"/>
              </w:rPr>
              <w:t xml:space="preserve">23.4%</w:t>
            </w:r>
          </w:p>
        </w:tc>
        <w:tc>
          <w:tcPr>
            <w:tcW w:type="dxa" w:w="1550"/>
            <w:shd w:fill="F4F6FA" w:color="auto" w:val="clear"/>
            <w:tcMar>
              <w:top w:type="dxa" w:w="80"/>
              <w:left w:type="dxa" w:w="120"/>
              <w:bottom w:type="dxa" w:w="80"/>
              <w:right w:type="dxa" w:w="120"/>
            </w:tcMar>
          </w:tcPr>
          <w:p>
            <w:pPr>
              <w:spacing w:after="0" w:before="0" w:line="240"/>
              <w:jc w:val="right"/>
            </w:pPr>
            <w:r>
              <w:rPr>
                <w:rFonts w:ascii="Arial" w:cs="Arial" w:eastAsia="Arial" w:hAnsi="Arial"/>
                <w:b w:val="false"/>
                <w:bCs w:val="false"/>
                <w:sz w:val="20"/>
                <w:szCs w:val="20"/>
              </w:rPr>
              <w:t xml:space="preserve">27.4%</w:t>
            </w:r>
          </w:p>
        </w:tc>
        <w:tc>
          <w:tcPr>
            <w:tcW w:type="dxa" w:w="1550"/>
            <w:shd w:fill="F4F6FA" w:color="auto" w:val="clear"/>
            <w:tcMar>
              <w:top w:type="dxa" w:w="80"/>
              <w:left w:type="dxa" w:w="120"/>
              <w:bottom w:type="dxa" w:w="80"/>
              <w:right w:type="dxa" w:w="120"/>
            </w:tcMar>
          </w:tcPr>
          <w:p>
            <w:pPr>
              <w:spacing w:after="0" w:before="0" w:line="240"/>
              <w:jc w:val="right"/>
            </w:pPr>
            <w:r>
              <w:rPr>
                <w:rFonts w:ascii="Arial" w:cs="Arial" w:eastAsia="Arial" w:hAnsi="Arial"/>
                <w:b w:val="false"/>
                <w:bCs w:val="false"/>
                <w:sz w:val="20"/>
                <w:szCs w:val="20"/>
              </w:rPr>
              <w:t xml:space="preserve">28.3%</w:t>
            </w:r>
          </w:p>
        </w:tc>
      </w:tr>
      <w:tr>
        <w:trPr>
          <w:cantSplit/>
          <w:tblHeader w:val="false"/>
        </w:trPr>
        <w:tc>
          <w:tcPr>
            <w:tcW w:type="dxa" w:w="3160"/>
            <w:tcMar>
              <w:top w:type="dxa" w:w="80"/>
              <w:left w:type="dxa" w:w="120"/>
              <w:bottom w:type="dxa" w:w="80"/>
              <w:right w:type="dxa" w:w="120"/>
            </w:tcMar>
          </w:tcPr>
          <w:p>
            <w:pPr>
              <w:spacing w:after="0" w:before="0" w:line="240"/>
              <w:jc w:val="left"/>
            </w:pPr>
            <w:r>
              <w:rPr>
                <w:rFonts w:ascii="Arial" w:cs="Arial" w:eastAsia="Arial" w:hAnsi="Arial"/>
                <w:b w:val="false"/>
                <w:bCs w:val="false"/>
                <w:sz w:val="20"/>
                <w:szCs w:val="20"/>
              </w:rPr>
              <w:t xml:space="preserve">Operating income</w:t>
            </w:r>
          </w:p>
        </w:tc>
        <w:tc>
          <w:tcPr>
            <w:tcW w:type="dxa" w:w="1550"/>
            <w:tcMar>
              <w:top w:type="dxa" w:w="80"/>
              <w:left w:type="dxa" w:w="120"/>
              <w:bottom w:type="dxa" w:w="80"/>
              <w:right w:type="dxa" w:w="120"/>
            </w:tcMar>
          </w:tcPr>
          <w:p>
            <w:pPr>
              <w:spacing w:after="0" w:before="0" w:line="240"/>
              <w:jc w:val="right"/>
            </w:pPr>
            <w:r>
              <w:rPr>
                <w:rFonts w:ascii="Arial" w:cs="Arial" w:eastAsia="Arial" w:hAnsi="Arial"/>
                <w:b w:val="false"/>
                <w:bCs w:val="false"/>
                <w:sz w:val="20"/>
                <w:szCs w:val="20"/>
              </w:rPr>
              <w:t xml:space="preserve">7,883</w:t>
            </w:r>
          </w:p>
        </w:tc>
        <w:tc>
          <w:tcPr>
            <w:tcW w:type="dxa" w:w="1550"/>
            <w:tcMar>
              <w:top w:type="dxa" w:w="80"/>
              <w:left w:type="dxa" w:w="120"/>
              <w:bottom w:type="dxa" w:w="80"/>
              <w:right w:type="dxa" w:w="120"/>
            </w:tcMar>
          </w:tcPr>
          <w:p>
            <w:pPr>
              <w:spacing w:after="0" w:before="0" w:line="240"/>
              <w:jc w:val="right"/>
            </w:pPr>
            <w:r>
              <w:rPr>
                <w:rFonts w:ascii="Arial" w:cs="Arial" w:eastAsia="Arial" w:hAnsi="Arial"/>
                <w:b w:val="false"/>
                <w:bCs w:val="false"/>
                <w:sz w:val="20"/>
                <w:szCs w:val="20"/>
              </w:rPr>
              <w:t xml:space="preserve">14,081</w:t>
            </w:r>
          </w:p>
        </w:tc>
        <w:tc>
          <w:tcPr>
            <w:tcW w:type="dxa" w:w="1550"/>
            <w:tcMar>
              <w:top w:type="dxa" w:w="80"/>
              <w:left w:type="dxa" w:w="120"/>
              <w:bottom w:type="dxa" w:w="80"/>
              <w:right w:type="dxa" w:w="120"/>
            </w:tcMar>
          </w:tcPr>
          <w:p>
            <w:pPr>
              <w:spacing w:after="0" w:before="0" w:line="240"/>
              <w:jc w:val="right"/>
            </w:pPr>
            <w:r>
              <w:rPr>
                <w:rFonts w:ascii="Arial" w:cs="Arial" w:eastAsia="Arial" w:hAnsi="Arial"/>
                <w:b w:val="false"/>
                <w:bCs w:val="false"/>
                <w:sz w:val="20"/>
                <w:szCs w:val="20"/>
              </w:rPr>
              <w:t xml:space="preserve">21,000</w:t>
            </w:r>
          </w:p>
        </w:tc>
        <w:tc>
          <w:tcPr>
            <w:tcW w:type="dxa" w:w="1550"/>
            <w:tcMar>
              <w:top w:type="dxa" w:w="80"/>
              <w:left w:type="dxa" w:w="120"/>
              <w:bottom w:type="dxa" w:w="80"/>
              <w:right w:type="dxa" w:w="120"/>
            </w:tcMar>
          </w:tcPr>
          <w:p>
            <w:pPr>
              <w:spacing w:after="0" w:before="0" w:line="240"/>
              <w:jc w:val="right"/>
            </w:pPr>
            <w:r>
              <w:rPr>
                <w:rFonts w:ascii="Arial" w:cs="Arial" w:eastAsia="Arial" w:hAnsi="Arial"/>
                <w:b w:val="false"/>
                <w:bCs w:val="false"/>
                <w:sz w:val="20"/>
                <w:szCs w:val="20"/>
              </w:rPr>
              <w:t xml:space="preserve">23,994</w:t>
            </w:r>
          </w:p>
        </w:tc>
      </w:tr>
      <w:tr>
        <w:trPr>
          <w:cantSplit/>
          <w:tblHeader w:val="false"/>
        </w:trPr>
        <w:tc>
          <w:tcPr>
            <w:tcW w:type="dxa" w:w="3160"/>
            <w:shd w:fill="F4F6FA" w:color="auto" w:val="clear"/>
            <w:tcMar>
              <w:top w:type="dxa" w:w="80"/>
              <w:left w:type="dxa" w:w="120"/>
              <w:bottom w:type="dxa" w:w="80"/>
              <w:right w:type="dxa" w:w="120"/>
            </w:tcMar>
          </w:tcPr>
          <w:p>
            <w:pPr>
              <w:spacing w:after="0" w:before="0" w:line="240"/>
              <w:jc w:val="left"/>
            </w:pPr>
            <w:r>
              <w:rPr>
                <w:rFonts w:ascii="Arial" w:cs="Arial" w:eastAsia="Arial" w:hAnsi="Arial"/>
                <w:b w:val="false"/>
                <w:bCs w:val="false"/>
                <w:sz w:val="20"/>
                <w:szCs w:val="20"/>
              </w:rPr>
              <w:t xml:space="preserve">Operating margin</w:t>
            </w:r>
          </w:p>
        </w:tc>
        <w:tc>
          <w:tcPr>
            <w:tcW w:type="dxa" w:w="1550"/>
            <w:shd w:fill="F4F6FA" w:color="auto" w:val="clear"/>
            <w:tcMar>
              <w:top w:type="dxa" w:w="80"/>
              <w:left w:type="dxa" w:w="120"/>
              <w:bottom w:type="dxa" w:w="80"/>
              <w:right w:type="dxa" w:w="120"/>
            </w:tcMar>
          </w:tcPr>
          <w:p>
            <w:pPr>
              <w:spacing w:after="0" w:before="0" w:line="240"/>
              <w:jc w:val="right"/>
            </w:pPr>
            <w:r>
              <w:rPr>
                <w:rFonts w:ascii="Arial" w:cs="Arial" w:eastAsia="Arial" w:hAnsi="Arial"/>
                <w:b w:val="false"/>
                <w:bCs w:val="false"/>
                <w:sz w:val="20"/>
                <w:szCs w:val="20"/>
              </w:rPr>
              <w:t xml:space="preserve">52.3%</w:t>
            </w:r>
          </w:p>
        </w:tc>
        <w:tc>
          <w:tcPr>
            <w:tcW w:type="dxa" w:w="1550"/>
            <w:shd w:fill="F4F6FA" w:color="auto" w:val="clear"/>
            <w:tcMar>
              <w:top w:type="dxa" w:w="80"/>
              <w:left w:type="dxa" w:w="120"/>
              <w:bottom w:type="dxa" w:w="80"/>
              <w:right w:type="dxa" w:w="120"/>
            </w:tcMar>
          </w:tcPr>
          <w:p>
            <w:pPr>
              <w:spacing w:after="0" w:before="0" w:line="240"/>
              <w:jc w:val="right"/>
            </w:pPr>
            <w:r>
              <w:rPr>
                <w:rFonts w:ascii="Arial" w:cs="Arial" w:eastAsia="Arial" w:hAnsi="Arial"/>
                <w:b w:val="false"/>
                <w:bCs w:val="false"/>
                <w:sz w:val="20"/>
                <w:szCs w:val="20"/>
              </w:rPr>
              <w:t xml:space="preserve">64.5%</w:t>
            </w:r>
          </w:p>
        </w:tc>
        <w:tc>
          <w:tcPr>
            <w:tcW w:type="dxa" w:w="1550"/>
            <w:shd w:fill="F4F6FA" w:color="auto" w:val="clear"/>
            <w:tcMar>
              <w:top w:type="dxa" w:w="80"/>
              <w:left w:type="dxa" w:w="120"/>
              <w:bottom w:type="dxa" w:w="80"/>
              <w:right w:type="dxa" w:w="120"/>
            </w:tcMar>
          </w:tcPr>
          <w:p>
            <w:pPr>
              <w:spacing w:after="0" w:before="0" w:line="240"/>
              <w:jc w:val="right"/>
            </w:pPr>
            <w:r>
              <w:rPr>
                <w:rFonts w:ascii="Arial" w:cs="Arial" w:eastAsia="Arial" w:hAnsi="Arial"/>
                <w:b w:val="false"/>
                <w:bCs w:val="false"/>
                <w:sz w:val="20"/>
                <w:szCs w:val="20"/>
              </w:rPr>
              <w:t xml:space="preserve">64.3%</w:t>
            </w:r>
          </w:p>
        </w:tc>
        <w:tc>
          <w:tcPr>
            <w:tcW w:type="dxa" w:w="1550"/>
            <w:shd w:fill="F4F6FA" w:color="auto" w:val="clear"/>
            <w:tcMar>
              <w:top w:type="dxa" w:w="80"/>
              <w:left w:type="dxa" w:w="120"/>
              <w:bottom w:type="dxa" w:w="80"/>
              <w:right w:type="dxa" w:w="120"/>
            </w:tcMar>
          </w:tcPr>
          <w:p>
            <w:pPr>
              <w:spacing w:after="0" w:before="0" w:line="240"/>
              <w:jc w:val="right"/>
            </w:pPr>
            <w:r>
              <w:rPr>
                <w:rFonts w:ascii="Arial" w:cs="Arial" w:eastAsia="Arial" w:hAnsi="Arial"/>
                <w:b w:val="false"/>
                <w:bCs w:val="false"/>
                <w:sz w:val="20"/>
                <w:szCs w:val="20"/>
              </w:rPr>
              <w:t xml:space="preserve">60.0%</w:t>
            </w:r>
          </w:p>
        </w:tc>
      </w:tr>
      <w:tr>
        <w:trPr>
          <w:cantSplit/>
          <w:tblHeader w:val="false"/>
        </w:trPr>
        <w:tc>
          <w:tcPr>
            <w:tcW w:type="dxa" w:w="3160"/>
            <w:tcMar>
              <w:top w:type="dxa" w:w="80"/>
              <w:left w:type="dxa" w:w="120"/>
              <w:bottom w:type="dxa" w:w="80"/>
              <w:right w:type="dxa" w:w="120"/>
            </w:tcMar>
          </w:tcPr>
          <w:p>
            <w:pPr>
              <w:spacing w:after="0" w:before="0" w:line="240"/>
              <w:jc w:val="left"/>
            </w:pPr>
            <w:r>
              <w:rPr>
                <w:rFonts w:ascii="Arial" w:cs="Arial" w:eastAsia="Arial" w:hAnsi="Arial"/>
                <w:b w:val="false"/>
                <w:bCs w:val="false"/>
                <w:sz w:val="20"/>
                <w:szCs w:val="20"/>
              </w:rPr>
              <w:t xml:space="preserve">Net income</w:t>
            </w:r>
          </w:p>
        </w:tc>
        <w:tc>
          <w:tcPr>
            <w:tcW w:type="dxa" w:w="1550"/>
            <w:tcMar>
              <w:top w:type="dxa" w:w="80"/>
              <w:left w:type="dxa" w:w="120"/>
              <w:bottom w:type="dxa" w:w="80"/>
              <w:right w:type="dxa" w:w="120"/>
            </w:tcMar>
          </w:tcPr>
          <w:p>
            <w:pPr>
              <w:spacing w:after="0" w:before="0" w:line="240"/>
              <w:jc w:val="right"/>
            </w:pPr>
            <w:r>
              <w:rPr>
                <w:rFonts w:ascii="Arial" w:cs="Arial" w:eastAsia="Arial" w:hAnsi="Arial"/>
                <w:b w:val="false"/>
                <w:bCs w:val="false"/>
                <w:sz w:val="20"/>
                <w:szCs w:val="20"/>
              </w:rPr>
              <w:t xml:space="preserve">5,991</w:t>
            </w:r>
          </w:p>
        </w:tc>
        <w:tc>
          <w:tcPr>
            <w:tcW w:type="dxa" w:w="1550"/>
            <w:tcMar>
              <w:top w:type="dxa" w:w="80"/>
              <w:left w:type="dxa" w:w="120"/>
              <w:bottom w:type="dxa" w:w="80"/>
              <w:right w:type="dxa" w:w="120"/>
            </w:tcMar>
          </w:tcPr>
          <w:p>
            <w:pPr>
              <w:spacing w:after="0" w:before="0" w:line="240"/>
              <w:jc w:val="right"/>
            </w:pPr>
            <w:r>
              <w:rPr>
                <w:rFonts w:ascii="Arial" w:cs="Arial" w:eastAsia="Arial" w:hAnsi="Arial"/>
                <w:b w:val="false"/>
                <w:bCs w:val="false"/>
                <w:sz w:val="20"/>
                <w:szCs w:val="20"/>
              </w:rPr>
              <w:t xml:space="preserve">10,866</w:t>
            </w:r>
          </w:p>
        </w:tc>
        <w:tc>
          <w:tcPr>
            <w:tcW w:type="dxa" w:w="1550"/>
            <w:tcMar>
              <w:top w:type="dxa" w:w="80"/>
              <w:left w:type="dxa" w:w="120"/>
              <w:bottom w:type="dxa" w:w="80"/>
              <w:right w:type="dxa" w:w="120"/>
            </w:tcMar>
          </w:tcPr>
          <w:p>
            <w:pPr>
              <w:spacing w:after="0" w:before="0" w:line="240"/>
              <w:jc w:val="right"/>
            </w:pPr>
            <w:r>
              <w:rPr>
                <w:rFonts w:ascii="Arial" w:cs="Arial" w:eastAsia="Arial" w:hAnsi="Arial"/>
                <w:b w:val="false"/>
                <w:bCs w:val="false"/>
                <w:sz w:val="20"/>
                <w:szCs w:val="20"/>
              </w:rPr>
              <w:t xml:space="preserve">17,273</w:t>
            </w:r>
          </w:p>
        </w:tc>
        <w:tc>
          <w:tcPr>
            <w:tcW w:type="dxa" w:w="1550"/>
            <w:tcMar>
              <w:top w:type="dxa" w:w="80"/>
              <w:left w:type="dxa" w:w="120"/>
              <w:bottom w:type="dxa" w:w="80"/>
              <w:right w:type="dxa" w:w="120"/>
            </w:tcMar>
          </w:tcPr>
          <w:p>
            <w:pPr>
              <w:spacing w:after="0" w:before="0" w:line="240"/>
              <w:jc w:val="right"/>
            </w:pPr>
            <w:r>
              <w:rPr>
                <w:rFonts w:ascii="Arial" w:cs="Arial" w:eastAsia="Arial" w:hAnsi="Arial"/>
                <w:b w:val="false"/>
                <w:bCs w:val="false"/>
                <w:sz w:val="20"/>
                <w:szCs w:val="20"/>
              </w:rPr>
              <w:t xml:space="preserve">20,058</w:t>
            </w:r>
          </w:p>
        </w:tc>
      </w:tr>
      <w:tr>
        <w:trPr>
          <w:cantSplit/>
          <w:tblHeader w:val="false"/>
        </w:trPr>
        <w:tc>
          <w:tcPr>
            <w:tcW w:type="dxa" w:w="3160"/>
            <w:shd w:fill="F4F6FA" w:color="auto" w:val="clear"/>
            <w:tcMar>
              <w:top w:type="dxa" w:w="80"/>
              <w:left w:type="dxa" w:w="120"/>
              <w:bottom w:type="dxa" w:w="80"/>
              <w:right w:type="dxa" w:w="120"/>
            </w:tcMar>
          </w:tcPr>
          <w:p>
            <w:pPr>
              <w:spacing w:after="0" w:before="0" w:line="240"/>
              <w:jc w:val="left"/>
            </w:pPr>
            <w:r>
              <w:rPr>
                <w:rFonts w:ascii="Arial" w:cs="Arial" w:eastAsia="Arial" w:hAnsi="Arial"/>
                <w:b w:val="false"/>
                <w:bCs w:val="false"/>
                <w:sz w:val="20"/>
                <w:szCs w:val="20"/>
              </w:rPr>
              <w:t xml:space="preserve">Nominal payments volume ($bn)</w:t>
            </w:r>
          </w:p>
        </w:tc>
        <w:tc>
          <w:tcPr>
            <w:tcW w:type="dxa" w:w="1550"/>
            <w:shd w:fill="F4F6FA" w:color="auto" w:val="clear"/>
            <w:tcMar>
              <w:top w:type="dxa" w:w="80"/>
              <w:left w:type="dxa" w:w="120"/>
              <w:bottom w:type="dxa" w:w="80"/>
              <w:right w:type="dxa" w:w="120"/>
            </w:tcMar>
          </w:tcPr>
          <w:p>
            <w:pPr>
              <w:spacing w:after="0" w:before="0" w:line="240"/>
              <w:jc w:val="right"/>
            </w:pPr>
            <w:r>
              <w:rPr>
                <w:rFonts w:ascii="Arial" w:cs="Arial" w:eastAsia="Arial" w:hAnsi="Arial"/>
                <w:b w:val="false"/>
                <w:bCs w:val="false"/>
                <w:sz w:val="20"/>
                <w:szCs w:val="20"/>
              </w:rPr>
              <w:t xml:space="preserve">5,651</w:t>
            </w:r>
          </w:p>
        </w:tc>
        <w:tc>
          <w:tcPr>
            <w:tcW w:type="dxa" w:w="1550"/>
            <w:shd w:fill="F4F6FA" w:color="auto" w:val="clear"/>
            <w:tcMar>
              <w:top w:type="dxa" w:w="80"/>
              <w:left w:type="dxa" w:w="120"/>
              <w:bottom w:type="dxa" w:w="80"/>
              <w:right w:type="dxa" w:w="120"/>
            </w:tcMar>
          </w:tcPr>
          <w:p>
            <w:pPr>
              <w:spacing w:after="0" w:before="0" w:line="240"/>
              <w:jc w:val="right"/>
            </w:pPr>
            <w:r>
              <w:rPr>
                <w:rFonts w:ascii="Arial" w:cs="Arial" w:eastAsia="Arial" w:hAnsi="Arial"/>
                <w:b w:val="false"/>
                <w:bCs w:val="false"/>
                <w:sz w:val="20"/>
                <w:szCs w:val="20"/>
              </w:rPr>
              <w:t xml:space="preserve">8,713</w:t>
            </w:r>
          </w:p>
        </w:tc>
        <w:tc>
          <w:tcPr>
            <w:tcW w:type="dxa" w:w="1550"/>
            <w:shd w:fill="F4F6FA" w:color="auto" w:val="clear"/>
            <w:tcMar>
              <w:top w:type="dxa" w:w="80"/>
              <w:left w:type="dxa" w:w="120"/>
              <w:bottom w:type="dxa" w:w="80"/>
              <w:right w:type="dxa" w:w="120"/>
            </w:tcMar>
          </w:tcPr>
          <w:p>
            <w:pPr>
              <w:spacing w:after="0" w:before="0" w:line="240"/>
              <w:jc w:val="right"/>
            </w:pPr>
            <w:r>
              <w:rPr>
                <w:rFonts w:ascii="Arial" w:cs="Arial" w:eastAsia="Arial" w:hAnsi="Arial"/>
                <w:b w:val="false"/>
                <w:bCs w:val="false"/>
                <w:sz w:val="20"/>
                <w:szCs w:val="20"/>
              </w:rPr>
              <w:t xml:space="preserve">12,088</w:t>
            </w:r>
          </w:p>
        </w:tc>
        <w:tc>
          <w:tcPr>
            <w:tcW w:type="dxa" w:w="1550"/>
            <w:shd w:fill="F4F6FA" w:color="auto" w:val="clear"/>
            <w:tcMar>
              <w:top w:type="dxa" w:w="80"/>
              <w:left w:type="dxa" w:w="120"/>
              <w:bottom w:type="dxa" w:w="80"/>
              <w:right w:type="dxa" w:w="120"/>
            </w:tcMar>
          </w:tcPr>
          <w:p>
            <w:pPr>
              <w:spacing w:after="0" w:before="0" w:line="240"/>
              <w:jc w:val="right"/>
            </w:pPr>
            <w:r>
              <w:rPr>
                <w:rFonts w:ascii="Arial" w:cs="Arial" w:eastAsia="Arial" w:hAnsi="Arial"/>
                <w:b w:val="false"/>
                <w:bCs w:val="false"/>
                <w:sz w:val="20"/>
                <w:szCs w:val="20"/>
              </w:rPr>
              <w:t xml:space="preserve">13,894</w:t>
            </w:r>
          </w:p>
        </w:tc>
      </w:tr>
      <w:tr>
        <w:trPr>
          <w:cantSplit/>
          <w:tblHeader w:val="false"/>
        </w:trPr>
        <w:tc>
          <w:tcPr>
            <w:tcW w:type="dxa" w:w="3160"/>
            <w:tcMar>
              <w:top w:type="dxa" w:w="80"/>
              <w:left w:type="dxa" w:w="120"/>
              <w:bottom w:type="dxa" w:w="80"/>
              <w:right w:type="dxa" w:w="120"/>
            </w:tcMar>
          </w:tcPr>
          <w:p>
            <w:pPr>
              <w:spacing w:after="0" w:before="0" w:line="240"/>
              <w:jc w:val="left"/>
            </w:pPr>
            <w:r>
              <w:rPr>
                <w:rFonts w:ascii="Arial" w:cs="Arial" w:eastAsia="Arial" w:hAnsi="Arial"/>
                <w:b w:val="false"/>
                <w:bCs w:val="false"/>
                <w:sz w:val="20"/>
                <w:szCs w:val="20"/>
              </w:rPr>
              <w:t xml:space="preserve">Operating cash flow</w:t>
            </w:r>
          </w:p>
        </w:tc>
        <w:tc>
          <w:tcPr>
            <w:tcW w:type="dxa" w:w="1550"/>
            <w:tcMar>
              <w:top w:type="dxa" w:w="80"/>
              <w:left w:type="dxa" w:w="120"/>
              <w:bottom w:type="dxa" w:w="80"/>
              <w:right w:type="dxa" w:w="120"/>
            </w:tcMar>
          </w:tcPr>
          <w:p>
            <w:pPr>
              <w:spacing w:after="0" w:before="0" w:line="240"/>
              <w:jc w:val="left"/>
            </w:pPr>
            <w:r>
              <w:rPr>
                <w:rFonts w:ascii="Arial" w:cs="Arial" w:eastAsia="Arial" w:hAnsi="Arial"/>
                <w:b w:val="false"/>
                <w:bCs w:val="false"/>
                <w:sz w:val="20"/>
                <w:szCs w:val="20"/>
              </w:rPr>
              <w:t xml:space="preserve">—</w:t>
            </w:r>
          </w:p>
        </w:tc>
        <w:tc>
          <w:tcPr>
            <w:tcW w:type="dxa" w:w="1550"/>
            <w:tcMar>
              <w:top w:type="dxa" w:w="80"/>
              <w:left w:type="dxa" w:w="120"/>
              <w:bottom w:type="dxa" w:w="80"/>
              <w:right w:type="dxa" w:w="120"/>
            </w:tcMar>
          </w:tcPr>
          <w:p>
            <w:pPr>
              <w:spacing w:after="0" w:before="0" w:line="240"/>
              <w:jc w:val="left"/>
            </w:pPr>
            <w:r>
              <w:rPr>
                <w:rFonts w:ascii="Arial" w:cs="Arial" w:eastAsia="Arial" w:hAnsi="Arial"/>
                <w:b w:val="false"/>
                <w:bCs w:val="false"/>
                <w:sz w:val="20"/>
                <w:szCs w:val="20"/>
              </w:rPr>
              <w:t xml:space="preserve">—</w:t>
            </w:r>
          </w:p>
        </w:tc>
        <w:tc>
          <w:tcPr>
            <w:tcW w:type="dxa" w:w="1550"/>
            <w:tcMar>
              <w:top w:type="dxa" w:w="80"/>
              <w:left w:type="dxa" w:w="120"/>
              <w:bottom w:type="dxa" w:w="80"/>
              <w:right w:type="dxa" w:w="120"/>
            </w:tcMar>
          </w:tcPr>
          <w:p>
            <w:pPr>
              <w:spacing w:after="0" w:before="0" w:line="240"/>
              <w:jc w:val="right"/>
            </w:pPr>
            <w:r>
              <w:rPr>
                <w:rFonts w:ascii="Arial" w:cs="Arial" w:eastAsia="Arial" w:hAnsi="Arial"/>
                <w:b w:val="false"/>
                <w:bCs w:val="false"/>
                <w:sz w:val="20"/>
                <w:szCs w:val="20"/>
              </w:rPr>
              <w:t xml:space="preserve">20,755</w:t>
            </w:r>
          </w:p>
        </w:tc>
        <w:tc>
          <w:tcPr>
            <w:tcW w:type="dxa" w:w="1550"/>
            <w:tcMar>
              <w:top w:type="dxa" w:w="80"/>
              <w:left w:type="dxa" w:w="120"/>
              <w:bottom w:type="dxa" w:w="80"/>
              <w:right w:type="dxa" w:w="120"/>
            </w:tcMar>
          </w:tcPr>
          <w:p>
            <w:pPr>
              <w:spacing w:after="0" w:before="0" w:line="240"/>
              <w:jc w:val="right"/>
            </w:pPr>
            <w:r>
              <w:rPr>
                <w:rFonts w:ascii="Arial" w:cs="Arial" w:eastAsia="Arial" w:hAnsi="Arial"/>
                <w:b w:val="false"/>
                <w:bCs w:val="false"/>
                <w:sz w:val="20"/>
                <w:szCs w:val="20"/>
              </w:rPr>
              <w:t xml:space="preserve">23,059</w:t>
            </w:r>
          </w:p>
        </w:tc>
      </w:tr>
    </w:tbl>
    <w:p>
      <w:pPr>
        <w:spacing w:after="220" w:before="60"/>
      </w:pPr>
      <w:r>
        <w:rPr>
          <w:rFonts w:ascii="Arial" w:cs="Arial" w:eastAsia="Arial" w:hAnsi="Arial"/>
          <w:i/>
          <w:iCs/>
          <w:color w:val="5A5A5A"/>
          <w:sz w:val="17"/>
          <w:szCs w:val="17"/>
        </w:rPr>
        <w:t xml:space="preserve">Years chosen to show the shape of the change, not every year available. FY2016 includes Visa Europe only from 21 June 2016 and its operating expenses only for the September quarter, so FY2016 margin is not comparable to later years — it understates the underlying margin by an amount the filing does not quantify. Payments volume is for the twelve months ended 30 June of each fiscal year, per Visa's disclosure convention. Operating margin and the incentive ratio are inferred from disclosed figures. FY2025 operating margin is 66.4% excluding the $2,562 million litigation provision. Cash flow for FY2016 and FY2020 not extracted.</w:t>
      </w:r>
    </w:p>
    <w:p>
      <w:pPr>
        <w:pStyle w:val="Heading2"/>
        <w:spacing w:after="180" w:before="180"/>
      </w:pPr>
      <w:r>
        <w:rPr>
          <w:rFonts w:ascii="Arial" w:cs="Arial" w:eastAsia="Arial" w:hAnsi="Arial"/>
          <w:b/>
          <w:bCs/>
          <w:color w:val="1F3864"/>
          <w:sz w:val="28"/>
          <w:szCs w:val="28"/>
        </w:rPr>
        <w:t xml:space="preserve">Cash conversion</w:t>
      </w:r>
    </w:p>
    <w:p>
      <w:pPr>
        <w:spacing w:after="140" w:line="264"/>
      </w:pPr>
      <w:r>
        <w:rPr>
          <w:rFonts w:ascii="Arial" w:cs="Arial" w:eastAsia="Arial" w:hAnsi="Arial"/>
          <w:sz w:val="22"/>
          <w:szCs w:val="22"/>
        </w:rPr>
        <w:t xml:space="preserve">The business converts profit to cash better than it reports it. FY2025 operating cash flow was $23,059 million against net income of $20,058 million, and capital expenditure was $1,482 million — 3.7% of net revenue. Free cash flow of $21,577 million was therefore 54% of net revenue and 108% of net income (inferred). The excess over net income arises because the litigation provision is an accrual, and because depreciation and share-based compensation exceed the modest capital the network requires. Visa does not disclose a maintenance-versus-growth split of capex (NOT FOUND).</w:t>
      </w:r>
    </w:p>
    <w:p>
      <w:pPr>
        <w:spacing w:after="140" w:line="264"/>
      </w:pPr>
      <w:r>
        <w:rPr>
          <w:rFonts w:ascii="Arial" w:cs="Arial" w:eastAsia="Arial" w:hAnsi="Arial"/>
          <w:sz w:val="22"/>
          <w:szCs w:val="22"/>
        </w:rPr>
        <w:t xml:space="preserve">Working capital is dominated by client incentives, and the mechanics are worth understanding. Visa capitalises upfront and fixed incentive payments as assets and amortises them against revenue over the contract term, while performance-based incentives accrue as liabilities as they are earned. At 30 September 2025 it carried $7.3 billion of incentive assets against $10.4 billion of current incentive liabilities. In FY2025 the cash paid out on incentives ($15,314 million) closely matched the amount charged against revenue ($15,751 million), so the accounting is not flattering the cash flow — but the balances mean a step-change in contract terms would show up in cash before it showed up in the income statement.</w:t>
      </w:r>
    </w:p>
    <w:p>
      <w:pPr>
        <w:pStyle w:val="Heading2"/>
        <w:spacing w:after="180" w:before="180"/>
      </w:pPr>
      <w:r>
        <w:rPr>
          <w:rFonts w:ascii="Arial" w:cs="Arial" w:eastAsia="Arial" w:hAnsi="Arial"/>
          <w:b/>
          <w:bCs/>
          <w:color w:val="1F3864"/>
          <w:sz w:val="28"/>
          <w:szCs w:val="28"/>
        </w:rPr>
        <w:t xml:space="preserve">Where the cash went</w:t>
      </w:r>
    </w:p>
    <w:p>
      <w:pPr>
        <w:spacing w:after="140" w:line="264"/>
      </w:pPr>
      <w:r>
        <w:rPr>
          <w:rFonts w:ascii="Arial" w:cs="Arial" w:eastAsia="Arial" w:hAnsi="Arial"/>
          <w:sz w:val="22"/>
          <w:szCs w:val="22"/>
        </w:rPr>
        <w:t xml:space="preserve">Over FY2023 to FY2025 Visa deployed roughly $67.6 billion, ranked: share repurchases $47.1 billion (69%), dividends $12.6 billion (18%), capital expenditure $3.8 billion (6%), debt repayment $2.3 billion (3%) and acquisitions $1.8 billion (3%) (computed from the FY2025 10-K cash flow statement). More than four-fifths of all capital deployed went back to shareholders.</w:t>
      </w:r>
    </w:p>
    <w:p>
      <w:pPr>
        <w:spacing w:after="140" w:line="264"/>
      </w:pPr>
      <w:r>
        <w:rPr>
          <w:rFonts w:ascii="Arial" w:cs="Arial" w:eastAsia="Arial" w:hAnsi="Arial"/>
          <w:sz w:val="22"/>
          <w:szCs w:val="22"/>
        </w:rPr>
        <w:t xml:space="preserve">The behaviour that ranking reveals is a management team that does not believe it has better uses for the money than retiring its own equity. That is a defensible read of a business needing 3.7% of revenue in capex, and it has been executed consistently: the as-converted diluted share count has fallen from approximately 2,415 million in FY2016 to 1,898 million of Class A diluted shares in the June 2026 quarter, a reduction of around 21% (inferred from net income and diluted earnings per share). The dividend has been raised alongside, most recently to $0.67 per quarter declared on 28 July 2026.</w:t>
      </w:r>
    </w:p>
    <w:p>
      <w:pPr>
        <w:spacing w:after="140" w:line="264"/>
      </w:pPr>
      <w:r>
        <w:rPr>
          <w:rFonts w:ascii="Arial" w:cs="Arial" w:eastAsia="Arial" w:hAnsi="Arial"/>
          <w:sz w:val="22"/>
          <w:szCs w:val="22"/>
        </w:rPr>
        <w:t xml:space="preserve">There is one thing to watch in the recent pattern. In the first nine months of FY2026 Visa returned $20.3 billion against free cash flow of roughly $15.2 billion (inferred), funding the difference with $3.0 billion of new senior notes, $1.5 billion of commercial paper and the release of restricted cash from the litigation escrow. Total debt stood at $23.9 billion at 30 June 2026 against $35.2 billion of equity at the same date. The company is levering modestly to accelerate the buyback. This is a choice, not a constraint — but it is a change from a business that historically returned less than it earned.</w:t>
      </w:r>
    </w:p>
    <w:p>
      <w:pPr>
        <w:pStyle w:val="Heading2"/>
        <w:spacing w:after="180" w:before="180"/>
      </w:pPr>
      <w:r>
        <w:rPr>
          <w:rFonts w:ascii="Arial" w:cs="Arial" w:eastAsia="Arial" w:hAnsi="Arial"/>
          <w:b/>
          <w:bCs/>
          <w:color w:val="1F3864"/>
          <w:sz w:val="28"/>
          <w:szCs w:val="28"/>
        </w:rPr>
        <w:t xml:space="preserve">The structure that makes the litigation someone else's problem</w:t>
      </w:r>
    </w:p>
    <w:p>
      <w:pPr>
        <w:spacing w:after="140" w:line="264"/>
      </w:pPr>
      <w:r>
        <w:rPr>
          <w:rFonts w:ascii="Arial" w:cs="Arial" w:eastAsia="Arial" w:hAnsi="Arial"/>
          <w:sz w:val="22"/>
          <w:szCs w:val="22"/>
        </w:rPr>
        <w:t xml:space="preserve">Visa's most distinctive financial feature is not on the income statement. Under the US retrospective responsibility plan established at the 2008 initial public offering, monetary liabilities from the US covered interchange litigation are paid from a dedicated escrow account, and the escrow is funded by a downward adjustment to the rate at which Class B common stock converts into Class A. The economic effect is that the pre-IPO US bank owners, not Class A shareholders, absorb the cost of the interchange litigation. Visa states plainly that the FY2025 adjustments left diluted Class A earnings per share unchanged (FY2025 10-K).</w:t>
      </w:r>
    </w:p>
    <w:p>
      <w:pPr>
        <w:spacing w:after="140" w:line="264"/>
      </w:pPr>
      <w:r>
        <w:rPr>
          <w:rFonts w:ascii="Arial" w:cs="Arial" w:eastAsia="Arial" w:hAnsi="Arial"/>
          <w:sz w:val="22"/>
          <w:szCs w:val="22"/>
        </w:rPr>
        <w:t xml:space="preserve">The plan is currently being drawn down heavily. Visa deposited $875 million into the escrow in the first nine months of FY2026 and paid $2,977 million out to opt-out and injunctive-relief-class merchants, taking the balance from $2,990 million to $888 million (FY2026 Q3 10-Q). Accrued litigation fell from $3,033 million to $1,274 million over the same period. Visa has now settled with merchants representing approximately 95% of the Visa-branded volume of those who opted out of the damages class settlement, and the superseding injunctive-relief settlement agreed on 10 November 2025 received preliminary approval on 9 June 2026, with a motion for final approval filed on 15 July 2026.</w:t>
      </w:r>
    </w:p>
    <w:p>
      <w:pPr>
        <w:spacing w:after="140" w:line="264"/>
      </w:pPr>
      <w:r>
        <w:rPr>
          <w:rFonts w:ascii="Arial" w:cs="Arial" w:eastAsia="Arial" w:hAnsi="Arial"/>
          <w:sz w:val="22"/>
          <w:szCs w:val="22"/>
        </w:rPr>
        <w:t xml:space="preserve">The residual is still large and it post-dates the last annual report. Visa disclosed that interchange at issue in unresolved US covered claims was $17.4 billion as of 11 May 2026 (Form 8-K, 12 May 2026), and its auditor designated the accrual for opt-out merchants a critical audit matter. The mechanism above means further damages dilute Class B rather than Class A, but the escrow deposits themselves are cash out of the business, and the pace of those deposits is a genuine claim on capital that competes with the buyback.</w:t>
      </w:r>
    </w:p>
    <w:p>
      <w:r>
        <w:br w:type="page"/>
      </w:r>
    </w:p>
    <w:p>
      <w:pPr>
        <w:pStyle w:val="Heading1"/>
        <w:spacing w:after="200" w:before="360"/>
      </w:pPr>
      <w:r>
        <w:rPr>
          <w:rFonts w:ascii="Arial" w:cs="Arial" w:eastAsia="Arial" w:hAnsi="Arial"/>
          <w:b/>
          <w:bCs/>
          <w:color w:val="1F3864"/>
          <w:sz w:val="32"/>
          <w:szCs w:val="32"/>
        </w:rPr>
        <w:t xml:space="preserve">6. Cyclicality, Constraints and What to Monitor</w:t>
      </w:r>
    </w:p>
    <w:p>
      <w:pPr>
        <w:spacing w:after="140" w:line="264"/>
      </w:pPr>
      <w:r>
        <w:rPr>
          <w:rFonts w:ascii="Arial" w:cs="Arial" w:eastAsia="Arial" w:hAnsi="Arial"/>
          <w:sz w:val="22"/>
          <w:szCs w:val="22"/>
        </w:rPr>
        <w:t xml:space="preserve">Visa's cyclicality is not what a first reading suggests. Because revenue is a function of consumer spending, the instinct is to treat it as a cyclical business. Its own filings say otherwise, and the pandemic provides the cleanest natural experiment available for any company.</w:t>
      </w:r>
    </w:p>
    <w:p>
      <w:pPr>
        <w:spacing w:after="140" w:line="264"/>
      </w:pPr>
      <w:r>
        <w:rPr>
          <w:rFonts w:ascii="Arial" w:cs="Arial" w:eastAsia="Arial" w:hAnsi="Arial"/>
          <w:sz w:val="22"/>
          <w:szCs w:val="22"/>
        </w:rPr>
        <w:t xml:space="preserve">In the twelve months to 30 June 2020, Visa's total nominal payments volume was $8,713 billion against $8,615 billion the year before — growth of 1%, through the sharpest contraction in modern consumer spending. Within that, consumer credit volume fell 4%, consumer debit volume rose 7% and cash volume fell 8% (FY2020 10-K). Consumers stopped borrowing, kept spending, and abandoned cash faster than they abandoned consumption. The switch kept switching.</w:t>
      </w:r>
    </w:p>
    <w:p>
      <w:pPr>
        <w:spacing w:after="140" w:line="264"/>
      </w:pPr>
      <w:r>
        <w:rPr>
          <w:rFonts w:ascii="Arial" w:cs="Arial" w:eastAsia="Arial" w:hAnsi="Arial"/>
          <w:sz w:val="22"/>
          <w:szCs w:val="22"/>
        </w:rPr>
        <w:t xml:space="preserve">The damage was located entirely in one line. International transaction revenue fell from $7,804 million in FY2019 to $6,299 million in FY2020, down 19%, and total net revenue fell 5% (FY2019 and FY2020 10-Ks). The operating margin moved from 65.3% to 64.5% — barely at all, because the cost base did not need to change. Recovery took two full years: international transaction revenue was still below its FY2019 level in FY2021 at $6,530 million, even as domestic volumes had normalised.</w:t>
      </w:r>
    </w:p>
    <w:p>
      <w:pPr>
        <w:spacing w:after="140" w:line="264"/>
      </w:pPr>
      <w:r>
        <w:rPr>
          <w:rFonts w:ascii="Arial" w:cs="Arial" w:eastAsia="Arial" w:hAnsi="Arial"/>
          <w:sz w:val="22"/>
          <w:szCs w:val="22"/>
        </w:rPr>
        <w:t xml:space="preserve">Mastercard's 2009 disclosure shows the same shape in a credit-led recession: worldwide gross dollar volume fell 3.3% in dollars but rose 1.4% in local currency, credit volume fell 8.8%, debit volume rose 10.3% and processed transactions grew 6.9% (Mastercard 2009 Form 10-K). Two different shocks, sixteen years apart, produced the same answer. Domestic transaction count is close to recession-proof. Cross-border is where the cycle lives, and it falls roughly 30% and takes about two years back.</w:t>
      </w:r>
    </w:p>
    <w:p>
      <w:pPr>
        <w:pStyle w:val="Heading2"/>
        <w:spacing w:after="180" w:before="180"/>
      </w:pPr>
      <w:r>
        <w:rPr>
          <w:rFonts w:ascii="Arial" w:cs="Arial" w:eastAsia="Arial" w:hAnsi="Arial"/>
          <w:b/>
          <w:bCs/>
          <w:color w:val="1F3864"/>
          <w:sz w:val="28"/>
          <w:szCs w:val="28"/>
        </w:rPr>
        <w:t xml:space="preserve">Where the business sits now</w:t>
      </w:r>
    </w:p>
    <w:p>
      <w:pPr>
        <w:spacing w:after="140" w:line="264"/>
      </w:pPr>
      <w:r>
        <w:rPr>
          <w:rFonts w:ascii="Arial" w:cs="Arial" w:eastAsia="Arial" w:hAnsi="Arial"/>
          <w:sz w:val="22"/>
          <w:szCs w:val="22"/>
        </w:rPr>
        <w:t xml:space="preserve">At the June 2026 quarter every operating measure is at or above its prior peak. Payments volume, processed transactions and cross-border volume are all at record levels; cross-border volume is growing 14–15%, above its own long-run trend, supported by travel and cross-border ecommerce; and the operating margin excluding the litigation provision is at the top of its ten-year range. This is a peak reading, not a trough reading, and the distinction matters when interpreting the margin: a record margin at a cyclical peak and a record margin at a trough are opposite facts. Visa's is the former.</w:t>
      </w:r>
    </w:p>
    <w:p>
      <w:pPr>
        <w:spacing w:after="140" w:line="264"/>
      </w:pPr>
      <w:r>
        <w:rPr>
          <w:rFonts w:ascii="Arial" w:cs="Arial" w:eastAsia="Arial" w:hAnsi="Arial"/>
          <w:sz w:val="22"/>
          <w:szCs w:val="22"/>
        </w:rPr>
        <w:t xml:space="preserve">What that implies for a downside case is specific rather than general. A global travel contraction of the 2020 kind would remove roughly a fifth of international transaction revenue, which on the FY2025 base is around $2.8 billion of gross revenue against a cost base that would not fall (inferred by applying the FY2020 decline to the FY2025 line). Domestic volume would be broadly unaffected. The margin would compress by low single digits, not by half. This is the mechanism, and it is worth stating precisely because the reflex — consumer spending falls, therefore Visa falls proportionally — is not what the evidence shows.</w:t>
      </w:r>
    </w:p>
    <w:p>
      <w:pPr>
        <w:pStyle w:val="Heading2"/>
        <w:spacing w:after="180" w:before="180"/>
      </w:pPr>
      <w:r>
        <w:rPr>
          <w:rFonts w:ascii="Arial" w:cs="Arial" w:eastAsia="Arial" w:hAnsi="Arial"/>
          <w:b/>
          <w:bCs/>
          <w:color w:val="1F3864"/>
          <w:sz w:val="28"/>
          <w:szCs w:val="28"/>
        </w:rPr>
        <w:t xml:space="preserve">Durable versus borrowed</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4680"/>
        <w:gridCol w:w="4680"/>
      </w:tblGrid>
      <w:tr>
        <w:trPr>
          <w:cantSplit/>
          <w:tblHeader/>
        </w:trPr>
        <w:tc>
          <w:tcPr>
            <w:tcW w:type="dxa" w:w="4680"/>
            <w:shd w:fill="1F3864" w:color="auto" w:val="clear"/>
            <w:tcMar>
              <w:top w:type="dxa" w:w="80"/>
              <w:left w:type="dxa" w:w="120"/>
              <w:bottom w:type="dxa" w:w="80"/>
              <w:right w:type="dxa" w:w="120"/>
            </w:tcMar>
          </w:tcPr>
          <w:p>
            <w:pPr>
              <w:spacing w:after="0" w:before="0" w:line="240"/>
              <w:jc w:val="left"/>
            </w:pPr>
            <w:r>
              <w:rPr>
                <w:rFonts w:ascii="Arial" w:cs="Arial" w:eastAsia="Arial" w:hAnsi="Arial"/>
                <w:b/>
                <w:bCs/>
                <w:color w:val="FFFFFF"/>
                <w:sz w:val="20"/>
                <w:szCs w:val="20"/>
              </w:rPr>
              <w:t xml:space="preserve">Durable — likely intact in ten years</w:t>
            </w:r>
          </w:p>
        </w:tc>
        <w:tc>
          <w:tcPr>
            <w:tcW w:type="dxa" w:w="4680"/>
            <w:shd w:fill="1F3864" w:color="auto" w:val="clear"/>
            <w:tcMar>
              <w:top w:type="dxa" w:w="80"/>
              <w:left w:type="dxa" w:w="120"/>
              <w:bottom w:type="dxa" w:w="80"/>
              <w:right w:type="dxa" w:w="120"/>
            </w:tcMar>
          </w:tcPr>
          <w:p>
            <w:pPr>
              <w:spacing w:after="0" w:before="0" w:line="240"/>
              <w:jc w:val="left"/>
            </w:pPr>
            <w:r>
              <w:rPr>
                <w:rFonts w:ascii="Arial" w:cs="Arial" w:eastAsia="Arial" w:hAnsi="Arial"/>
                <w:b/>
                <w:bCs/>
                <w:color w:val="FFFFFF"/>
                <w:sz w:val="20"/>
                <w:szCs w:val="20"/>
              </w:rPr>
              <w:t xml:space="preserve">Borrowed — currently helping, may not persist</w:t>
            </w:r>
          </w:p>
        </w:tc>
      </w:tr>
      <w:tr>
        <w:trPr>
          <w:cantSplit/>
          <w:tblHeader w:val="false"/>
        </w:trPr>
        <w:tc>
          <w:tcPr>
            <w:tcW w:type="dxa" w:w="4680"/>
            <w:tcMar>
              <w:top w:type="dxa" w:w="80"/>
              <w:left w:type="dxa" w:w="120"/>
              <w:bottom w:type="dxa" w:w="80"/>
              <w:right w:type="dxa" w:w="120"/>
            </w:tcMar>
          </w:tcPr>
          <w:p>
            <w:pPr>
              <w:spacing w:after="0" w:before="0" w:line="240"/>
              <w:jc w:val="left"/>
            </w:pPr>
            <w:r>
              <w:rPr>
                <w:rFonts w:ascii="Arial" w:cs="Arial" w:eastAsia="Arial" w:hAnsi="Arial"/>
                <w:b w:val="false"/>
                <w:bCs w:val="false"/>
                <w:sz w:val="20"/>
                <w:szCs w:val="20"/>
              </w:rPr>
              <w:t xml:space="preserve">Two-sided scale: ~12bn endpoints against 175m+ merchant locations, assembled over five decades</w:t>
            </w:r>
          </w:p>
        </w:tc>
        <w:tc>
          <w:tcPr>
            <w:tcW w:type="dxa" w:w="4680"/>
            <w:tcMar>
              <w:top w:type="dxa" w:w="80"/>
              <w:left w:type="dxa" w:w="120"/>
              <w:bottom w:type="dxa" w:w="80"/>
              <w:right w:type="dxa" w:w="120"/>
            </w:tcMar>
          </w:tcPr>
          <w:p>
            <w:pPr>
              <w:spacing w:after="0" w:before="0" w:line="240"/>
              <w:jc w:val="left"/>
            </w:pPr>
            <w:r>
              <w:rPr>
                <w:rFonts w:ascii="Arial" w:cs="Arial" w:eastAsia="Arial" w:hAnsi="Arial"/>
                <w:b w:val="false"/>
                <w:bCs w:val="false"/>
                <w:sz w:val="20"/>
                <w:szCs w:val="20"/>
              </w:rPr>
              <w:t xml:space="preserve">Cross-border volume growing 14–15%, above its own long-run trend on travel and cross-border ecommerce</w:t>
            </w:r>
          </w:p>
        </w:tc>
      </w:tr>
      <w:tr>
        <w:trPr>
          <w:cantSplit/>
          <w:tblHeader w:val="false"/>
        </w:trPr>
        <w:tc>
          <w:tcPr>
            <w:tcW w:type="dxa" w:w="4680"/>
            <w:shd w:fill="F4F6FA" w:color="auto" w:val="clear"/>
            <w:tcMar>
              <w:top w:type="dxa" w:w="80"/>
              <w:left w:type="dxa" w:w="120"/>
              <w:bottom w:type="dxa" w:w="80"/>
              <w:right w:type="dxa" w:w="120"/>
            </w:tcMar>
          </w:tcPr>
          <w:p>
            <w:pPr>
              <w:spacing w:after="0" w:before="0" w:line="240"/>
              <w:jc w:val="left"/>
            </w:pPr>
            <w:r>
              <w:rPr>
                <w:rFonts w:ascii="Arial" w:cs="Arial" w:eastAsia="Arial" w:hAnsi="Arial"/>
                <w:b w:val="false"/>
                <w:bCs w:val="false"/>
                <w:sz w:val="20"/>
                <w:szCs w:val="20"/>
              </w:rPr>
              <w:t xml:space="preserve">Per-transaction economics indifferent to the price level, with transaction count growing faster than value</w:t>
            </w:r>
          </w:p>
        </w:tc>
        <w:tc>
          <w:tcPr>
            <w:tcW w:type="dxa" w:w="4680"/>
            <w:shd w:fill="F4F6FA" w:color="auto" w:val="clear"/>
            <w:tcMar>
              <w:top w:type="dxa" w:w="80"/>
              <w:left w:type="dxa" w:w="120"/>
              <w:bottom w:type="dxa" w:w="80"/>
              <w:right w:type="dxa" w:w="120"/>
            </w:tcMar>
          </w:tcPr>
          <w:p>
            <w:pPr>
              <w:spacing w:after="0" w:before="0" w:line="240"/>
              <w:jc w:val="left"/>
            </w:pPr>
            <w:r>
              <w:rPr>
                <w:rFonts w:ascii="Arial" w:cs="Arial" w:eastAsia="Arial" w:hAnsi="Arial"/>
                <w:b w:val="false"/>
                <w:bCs w:val="false"/>
                <w:sz w:val="20"/>
                <w:szCs w:val="20"/>
              </w:rPr>
              <w:t xml:space="preserve">Currency volatility, cited by Visa as a positive contributor to international transaction revenue in FY2025 and a negative one in FY2026</w:t>
            </w:r>
          </w:p>
        </w:tc>
      </w:tr>
      <w:tr>
        <w:trPr>
          <w:cantSplit/>
          <w:tblHeader w:val="false"/>
        </w:trPr>
        <w:tc>
          <w:tcPr>
            <w:tcW w:type="dxa" w:w="4680"/>
            <w:tcMar>
              <w:top w:type="dxa" w:w="80"/>
              <w:left w:type="dxa" w:w="120"/>
              <w:bottom w:type="dxa" w:w="80"/>
              <w:right w:type="dxa" w:w="120"/>
            </w:tcMar>
          </w:tcPr>
          <w:p>
            <w:pPr>
              <w:spacing w:after="0" w:before="0" w:line="240"/>
              <w:jc w:val="left"/>
            </w:pPr>
            <w:r>
              <w:rPr>
                <w:rFonts w:ascii="Arial" w:cs="Arial" w:eastAsia="Arial" w:hAnsi="Arial"/>
                <w:b w:val="false"/>
                <w:bCs w:val="false"/>
                <w:sz w:val="20"/>
                <w:szCs w:val="20"/>
              </w:rPr>
              <w:t xml:space="preserve">Cash displacement: cash still ~52% of euro-area point-of-sale transactions by number (ECB SPACE 2024)</w:t>
            </w:r>
          </w:p>
        </w:tc>
        <w:tc>
          <w:tcPr>
            <w:tcW w:type="dxa" w:w="4680"/>
            <w:tcMar>
              <w:top w:type="dxa" w:w="80"/>
              <w:left w:type="dxa" w:w="120"/>
              <w:bottom w:type="dxa" w:w="80"/>
              <w:right w:type="dxa" w:w="120"/>
            </w:tcMar>
          </w:tcPr>
          <w:p>
            <w:pPr>
              <w:spacing w:after="0" w:before="0" w:line="240"/>
              <w:jc w:val="left"/>
            </w:pPr>
            <w:r>
              <w:rPr>
                <w:rFonts w:ascii="Arial" w:cs="Arial" w:eastAsia="Arial" w:hAnsi="Arial"/>
                <w:b w:val="false"/>
                <w:bCs w:val="false"/>
                <w:sz w:val="20"/>
                <w:szCs w:val="20"/>
              </w:rPr>
              <w:t xml:space="preserve">Value-added services growing 33%, from a base small enough that the rate must decay arithmetically</w:t>
            </w:r>
          </w:p>
        </w:tc>
      </w:tr>
      <w:tr>
        <w:trPr>
          <w:cantSplit/>
          <w:tblHeader w:val="false"/>
        </w:trPr>
        <w:tc>
          <w:tcPr>
            <w:tcW w:type="dxa" w:w="4680"/>
            <w:shd w:fill="F4F6FA" w:color="auto" w:val="clear"/>
            <w:tcMar>
              <w:top w:type="dxa" w:w="80"/>
              <w:left w:type="dxa" w:w="120"/>
              <w:bottom w:type="dxa" w:w="80"/>
              <w:right w:type="dxa" w:w="120"/>
            </w:tcMar>
          </w:tcPr>
          <w:p>
            <w:pPr>
              <w:spacing w:after="0" w:before="0" w:line="240"/>
              <w:jc w:val="left"/>
            </w:pPr>
            <w:r>
              <w:rPr>
                <w:rFonts w:ascii="Arial" w:cs="Arial" w:eastAsia="Arial" w:hAnsi="Arial"/>
                <w:b w:val="false"/>
                <w:bCs w:val="false"/>
                <w:sz w:val="20"/>
                <w:szCs w:val="20"/>
              </w:rPr>
              <w:t xml:space="preserve">A cost base that does not grow with volume: network and processing expense 2.2% of net revenue</w:t>
            </w:r>
          </w:p>
        </w:tc>
        <w:tc>
          <w:tcPr>
            <w:tcW w:type="dxa" w:w="4680"/>
            <w:shd w:fill="F4F6FA" w:color="auto" w:val="clear"/>
            <w:tcMar>
              <w:top w:type="dxa" w:w="80"/>
              <w:left w:type="dxa" w:w="120"/>
              <w:bottom w:type="dxa" w:w="80"/>
              <w:right w:type="dxa" w:w="120"/>
            </w:tcMar>
          </w:tcPr>
          <w:p>
            <w:pPr>
              <w:spacing w:after="0" w:before="0" w:line="240"/>
              <w:jc w:val="left"/>
            </w:pPr>
            <w:r>
              <w:rPr>
                <w:rFonts w:ascii="Arial" w:cs="Arial" w:eastAsia="Arial" w:hAnsi="Arial"/>
                <w:b w:val="false"/>
                <w:bCs w:val="false"/>
                <w:sz w:val="20"/>
                <w:szCs w:val="20"/>
              </w:rPr>
              <w:t xml:space="preserve">The unregulated status of network fees, now under explicit review by the PSR and the RBA</w:t>
            </w:r>
          </w:p>
        </w:tc>
      </w:tr>
      <w:tr>
        <w:trPr>
          <w:cantSplit/>
          <w:tblHeader w:val="false"/>
        </w:trPr>
        <w:tc>
          <w:tcPr>
            <w:tcW w:type="dxa" w:w="4680"/>
            <w:tcMar>
              <w:top w:type="dxa" w:w="80"/>
              <w:left w:type="dxa" w:w="120"/>
              <w:bottom w:type="dxa" w:w="80"/>
              <w:right w:type="dxa" w:w="120"/>
            </w:tcMar>
          </w:tcPr>
          <w:p>
            <w:pPr>
              <w:spacing w:after="0" w:before="0" w:line="240"/>
              <w:jc w:val="left"/>
            </w:pPr>
            <w:r>
              <w:rPr>
                <w:rFonts w:ascii="Arial" w:cs="Arial" w:eastAsia="Arial" w:hAnsi="Arial"/>
                <w:b w:val="false"/>
                <w:bCs w:val="false"/>
                <w:sz w:val="20"/>
                <w:szCs w:val="20"/>
              </w:rPr>
              <w:t xml:space="preserve">The retrospective responsibility plan, insulating Class A holders from US interchange damages</w:t>
            </w:r>
          </w:p>
        </w:tc>
        <w:tc>
          <w:tcPr>
            <w:tcW w:type="dxa" w:w="4680"/>
            <w:tcMar>
              <w:top w:type="dxa" w:w="80"/>
              <w:left w:type="dxa" w:w="120"/>
              <w:bottom w:type="dxa" w:w="80"/>
              <w:right w:type="dxa" w:w="120"/>
            </w:tcMar>
          </w:tcPr>
          <w:p>
            <w:pPr>
              <w:spacing w:after="0" w:before="0" w:line="240"/>
              <w:jc w:val="left"/>
            </w:pPr>
            <w:r>
              <w:rPr>
                <w:rFonts w:ascii="Arial" w:cs="Arial" w:eastAsia="Arial" w:hAnsi="Arial"/>
                <w:b w:val="false"/>
                <w:bCs w:val="false"/>
                <w:sz w:val="20"/>
                <w:szCs w:val="20"/>
              </w:rPr>
              <w:t xml:space="preserve">Annual pricing modifications worth 2–3 percentage points of growth per revenue line</w:t>
            </w:r>
          </w:p>
        </w:tc>
      </w:tr>
    </w:tbl>
    <w:p>
      <w:pPr>
        <w:pStyle w:val="Heading2"/>
        <w:spacing w:after="180" w:before="180"/>
      </w:pPr>
      <w:r>
        <w:rPr>
          <w:rFonts w:ascii="Arial" w:cs="Arial" w:eastAsia="Arial" w:hAnsi="Arial"/>
          <w:b/>
          <w:bCs/>
          <w:color w:val="1F3864"/>
          <w:sz w:val="28"/>
          <w:szCs w:val="28"/>
        </w:rPr>
        <w:t xml:space="preserve">What to monitor, and where it is published</w:t>
      </w:r>
    </w:p>
    <w:p>
      <w:pPr>
        <w:pStyle w:val="ListParagraph"/>
        <w:numPr>
          <w:ilvl w:val="0"/>
          <w:numId w:val="2"/>
        </w:numPr>
        <w:spacing w:after="110" w:line="264"/>
      </w:pPr>
      <w:r>
        <w:rPr>
          <w:rFonts w:ascii="Arial" w:cs="Arial" w:eastAsia="Arial" w:hAnsi="Arial"/>
          <w:b/>
          <w:bCs/>
          <w:sz w:val="22"/>
          <w:szCs w:val="22"/>
        </w:rPr>
        <w:t xml:space="preserve">Client incentives as a percentage of gross revenue. </w:t>
      </w:r>
      <w:r>
        <w:rPr>
          <w:rFonts w:ascii="Arial" w:cs="Arial" w:eastAsia="Arial" w:hAnsi="Arial"/>
          <w:sz w:val="22"/>
          <w:szCs w:val="22"/>
        </w:rPr>
        <w:t xml:space="preserve">The single best measure of whether Visa's net pricing power is holding. Both figures are in the revenue table of every 10-Q and 10-K. It has risen every few years for a decade; a step change signals a large contract renewal on worse terms.</w:t>
      </w:r>
    </w:p>
    <w:p>
      <w:pPr>
        <w:pStyle w:val="ListParagraph"/>
        <w:numPr>
          <w:ilvl w:val="0"/>
          <w:numId w:val="2"/>
        </w:numPr>
        <w:spacing w:after="110" w:line="264"/>
      </w:pPr>
      <w:r>
        <w:rPr>
          <w:rFonts w:ascii="Arial" w:cs="Arial" w:eastAsia="Arial" w:hAnsi="Arial"/>
          <w:b/>
          <w:bCs/>
          <w:sz w:val="22"/>
          <w:szCs w:val="22"/>
        </w:rPr>
        <w:t xml:space="preserve">Cross-border volume growth excluding intra-Europe. </w:t>
      </w:r>
      <w:r>
        <w:rPr>
          <w:rFonts w:ascii="Arial" w:cs="Arial" w:eastAsia="Arial" w:hAnsi="Arial"/>
          <w:sz w:val="22"/>
          <w:szCs w:val="22"/>
        </w:rPr>
        <w:t xml:space="preserve">Disclosed in the MD&amp;A of each 10-Q and 10-K. The highest-yielding revenue line and the one that actually moves in a cycle.</w:t>
      </w:r>
    </w:p>
    <w:p>
      <w:pPr>
        <w:pStyle w:val="ListParagraph"/>
        <w:numPr>
          <w:ilvl w:val="0"/>
          <w:numId w:val="2"/>
        </w:numPr>
        <w:spacing w:after="110" w:line="264"/>
      </w:pPr>
      <w:r>
        <w:rPr>
          <w:rFonts w:ascii="Arial" w:cs="Arial" w:eastAsia="Arial" w:hAnsi="Arial"/>
          <w:b/>
          <w:bCs/>
          <w:sz w:val="22"/>
          <w:szCs w:val="22"/>
        </w:rPr>
        <w:t xml:space="preserve">Processed transactions versus nominal payments volume growth. </w:t>
      </w:r>
      <w:r>
        <w:rPr>
          <w:rFonts w:ascii="Arial" w:cs="Arial" w:eastAsia="Arial" w:hAnsi="Arial"/>
          <w:sz w:val="22"/>
          <w:szCs w:val="22"/>
        </w:rPr>
        <w:t xml:space="preserve">Both in every quarterly filing. The widening gap is the cash-displacement engine visible in real time; a narrowing gap means the low-value migration is maturing.</w:t>
      </w:r>
    </w:p>
    <w:p>
      <w:pPr>
        <w:pStyle w:val="ListParagraph"/>
        <w:numPr>
          <w:ilvl w:val="0"/>
          <w:numId w:val="2"/>
        </w:numPr>
        <w:spacing w:after="110" w:line="264"/>
      </w:pPr>
      <w:r>
        <w:rPr>
          <w:rFonts w:ascii="Arial" w:cs="Arial" w:eastAsia="Arial" w:hAnsi="Arial"/>
          <w:b/>
          <w:bCs/>
          <w:sz w:val="22"/>
          <w:szCs w:val="22"/>
        </w:rPr>
        <w:t xml:space="preserve">US debit routing share and the DOJ docket. </w:t>
      </w:r>
      <w:r>
        <w:rPr>
          <w:rFonts w:ascii="Arial" w:cs="Arial" w:eastAsia="Arial" w:hAnsi="Arial"/>
          <w:sz w:val="22"/>
          <w:szCs w:val="22"/>
        </w:rPr>
        <w:t xml:space="preserve">Federal Reserve biennial Interchange Fee Revenue reports for the dual-message versus single-message split; the SDNY docket in United States v. Visa (1:24-cv-07214) for the case.</w:t>
      </w:r>
    </w:p>
    <w:p>
      <w:pPr>
        <w:pStyle w:val="ListParagraph"/>
        <w:numPr>
          <w:ilvl w:val="0"/>
          <w:numId w:val="2"/>
        </w:numPr>
        <w:spacing w:after="110" w:line="264"/>
      </w:pPr>
      <w:r>
        <w:rPr>
          <w:rFonts w:ascii="Arial" w:cs="Arial" w:eastAsia="Arial" w:hAnsi="Arial"/>
          <w:b/>
          <w:bCs/>
          <w:sz w:val="22"/>
          <w:szCs w:val="22"/>
        </w:rPr>
        <w:t xml:space="preserve">Scheme-fee regulation in the UK and Australia. </w:t>
      </w:r>
      <w:r>
        <w:rPr>
          <w:rFonts w:ascii="Arial" w:cs="Arial" w:eastAsia="Arial" w:hAnsi="Arial"/>
          <w:sz w:val="22"/>
          <w:szCs w:val="22"/>
        </w:rPr>
        <w:t xml:space="preserve">PSR consultation papers and directions, expected from summer 2026; the RBA's Scheme Fee Roadmaps, due April 2027. These are where a cap on Visa's own price, if it ever comes, will first appear.</w:t>
      </w:r>
    </w:p>
    <w:p>
      <w:pPr>
        <w:pStyle w:val="ListParagraph"/>
        <w:numPr>
          <w:ilvl w:val="0"/>
          <w:numId w:val="2"/>
        </w:numPr>
        <w:spacing w:after="110" w:line="264"/>
      </w:pPr>
      <w:r>
        <w:rPr>
          <w:rFonts w:ascii="Arial" w:cs="Arial" w:eastAsia="Arial" w:hAnsi="Arial"/>
          <w:b/>
          <w:bCs/>
          <w:sz w:val="22"/>
          <w:szCs w:val="22"/>
        </w:rPr>
        <w:t xml:space="preserve">US litigation escrow balance and deposits. </w:t>
      </w:r>
      <w:r>
        <w:rPr>
          <w:rFonts w:ascii="Arial" w:cs="Arial" w:eastAsia="Arial" w:hAnsi="Arial"/>
          <w:sz w:val="22"/>
          <w:szCs w:val="22"/>
        </w:rPr>
        <w:t xml:space="preserve">Disclosed each quarter. It is the direct cash cost of the interchange litigation and it competes with the buyback.</w:t>
      </w:r>
    </w:p>
    <w:p>
      <w:r>
        <w:br w:type="page"/>
      </w:r>
    </w:p>
    <w:p>
      <w:pPr>
        <w:pStyle w:val="Heading1"/>
        <w:spacing w:after="200" w:before="360"/>
      </w:pPr>
      <w:r>
        <w:rPr>
          <w:rFonts w:ascii="Arial" w:cs="Arial" w:eastAsia="Arial" w:hAnsi="Arial"/>
          <w:b/>
          <w:bCs/>
          <w:color w:val="1F3864"/>
          <w:sz w:val="32"/>
          <w:szCs w:val="32"/>
        </w:rPr>
        <w:t xml:space="preserve">7. Risks, Unknowns and Questions for Deeper Work</w:t>
      </w:r>
    </w:p>
    <w:p>
      <w:pPr>
        <w:spacing w:after="140" w:line="264"/>
      </w:pPr>
      <w:r>
        <w:rPr>
          <w:rFonts w:ascii="Arial" w:cs="Arial" w:eastAsia="Arial" w:hAnsi="Arial"/>
          <w:sz w:val="22"/>
          <w:szCs w:val="22"/>
        </w:rPr>
        <w:t xml:space="preserve">The risks below are those that cyclicality does not capture. Section 6 covers the cycle; this section covers what would change the business rather than pause it.</w:t>
      </w:r>
    </w:p>
    <w:p>
      <w:pPr>
        <w:pStyle w:val="ListParagraph"/>
        <w:numPr>
          <w:ilvl w:val="0"/>
          <w:numId w:val="2"/>
        </w:numPr>
        <w:spacing w:after="110" w:line="264"/>
      </w:pPr>
      <w:r>
        <w:rPr>
          <w:rFonts w:ascii="Arial" w:cs="Arial" w:eastAsia="Arial" w:hAnsi="Arial"/>
          <w:b/>
          <w:bCs/>
          <w:sz w:val="22"/>
          <w:szCs w:val="22"/>
        </w:rPr>
        <w:t xml:space="preserve">Debit routing is the live structural threat, not interchange. </w:t>
      </w:r>
      <w:r>
        <w:rPr>
          <w:rFonts w:ascii="Arial" w:cs="Arial" w:eastAsia="Arial" w:hAnsi="Arial"/>
          <w:sz w:val="22"/>
          <w:szCs w:val="22"/>
        </w:rPr>
        <w:t xml:space="preserve">Regulation II requires issuers to enable at least two unaffiliated networks, and since July 2023 that requirement extends to card-not-present transactions. The Department of Justice alleges Visa processes more than 60% of US debit transactions, collects over $7 billion a year in US debit fees, and preserves that position through agreements that foreclose at least 45% of debit volume; the court denied Visa's motion to dismiss in full on 23 June 2025. If those agreements are unwound, merchants route to whichever network is cheaper on a transaction Visa already switches — which converts a fee Visa currently sets into a fee Visa must bid for. No trial date has been set (NOT FOUND).</w:t>
      </w:r>
    </w:p>
    <w:p>
      <w:pPr>
        <w:pStyle w:val="ListParagraph"/>
        <w:numPr>
          <w:ilvl w:val="0"/>
          <w:numId w:val="2"/>
        </w:numPr>
        <w:spacing w:after="110" w:line="264"/>
      </w:pPr>
      <w:r>
        <w:rPr>
          <w:rFonts w:ascii="Arial" w:cs="Arial" w:eastAsia="Arial" w:hAnsi="Arial"/>
          <w:b/>
          <w:bCs/>
          <w:sz w:val="22"/>
          <w:szCs w:val="22"/>
        </w:rPr>
        <w:t xml:space="preserve">Scheme-fee regulation would attack the one thing never yet capped. </w:t>
      </w:r>
      <w:r>
        <w:rPr>
          <w:rFonts w:ascii="Arial" w:cs="Arial" w:eastAsia="Arial" w:hAnsi="Arial"/>
          <w:sz w:val="22"/>
          <w:szCs w:val="22"/>
        </w:rPr>
        <w:t xml:space="preserve">Section 3 sets out the evidence the PSR and the RBA assembled in 2025 and 2026 and their decision to require disclosure rather than cap price. The mechanism that makes this different in kind from every regulation Visa has absorbed to date is simple: an interchange cap moves money from issuers to merchants and leaves Visa's line untouched, which is why the Fed measures US network fees flat at 0.28% of value across twelve years of Reg II. A scheme-fee cap would come out of Visa's revenue directly, with nothing to recoup it from.</w:t>
      </w:r>
    </w:p>
    <w:p>
      <w:pPr>
        <w:pStyle w:val="ListParagraph"/>
        <w:numPr>
          <w:ilvl w:val="0"/>
          <w:numId w:val="2"/>
        </w:numPr>
        <w:spacing w:after="110" w:line="264"/>
      </w:pPr>
      <w:r>
        <w:rPr>
          <w:rFonts w:ascii="Arial" w:cs="Arial" w:eastAsia="Arial" w:hAnsi="Arial"/>
          <w:b/>
          <w:bCs/>
          <w:sz w:val="22"/>
          <w:szCs w:val="22"/>
        </w:rPr>
        <w:t xml:space="preserve">Client concentration compounds the routing risk. </w:t>
      </w:r>
      <w:r>
        <w:rPr>
          <w:rFonts w:ascii="Arial" w:cs="Arial" w:eastAsia="Arial" w:hAnsi="Arial"/>
          <w:sz w:val="22"/>
          <w:szCs w:val="22"/>
        </w:rPr>
        <w:t xml:space="preserve">One client accounted for 11% of total net revenue in each of FY2023, FY2024 and FY2025 (FY2025 10-K), and Visa notes that clients generally retain flexibility to issue non-Visa products and may in certain circumstances terminate on relatively short notice without significant early termination fees. The mechanism that makes this dangerous is the incentive escalation described in Section 5: a single large renewal can move the incentive ratio, and the counterparty's alternative is a network of comparable capability. Visa does not name the client (NOT FOUND).</w:t>
      </w:r>
    </w:p>
    <w:p>
      <w:pPr>
        <w:pStyle w:val="ListParagraph"/>
        <w:numPr>
          <w:ilvl w:val="0"/>
          <w:numId w:val="2"/>
        </w:numPr>
        <w:spacing w:after="110" w:line="264"/>
      </w:pPr>
      <w:r>
        <w:rPr>
          <w:rFonts w:ascii="Arial" w:cs="Arial" w:eastAsia="Arial" w:hAnsi="Arial"/>
          <w:b/>
          <w:bCs/>
          <w:sz w:val="22"/>
          <w:szCs w:val="22"/>
        </w:rPr>
        <w:t xml:space="preserve">Credit is protected today because a bank transfer is not a credit line — which is an argument about product, not about rails. </w:t>
      </w:r>
      <w:r>
        <w:rPr>
          <w:rFonts w:ascii="Arial" w:cs="Arial" w:eastAsia="Arial" w:hAnsi="Arial"/>
          <w:sz w:val="22"/>
          <w:szCs w:val="22"/>
        </w:rPr>
        <w:t xml:space="preserve">The India and Brazil evidence shows account-to-account displacement has fallen on debit and cash. But UPI and Pix are both under a decade old, and neither yet offers credit at scale. If credit-on-UPI or its equivalent achieves meaningful merchant adoption, the analytical basis for treating credit as protected weakens considerably. The filings and outside sources do not settle how far that has progressed.</w:t>
      </w:r>
    </w:p>
    <w:p>
      <w:pPr>
        <w:pStyle w:val="ListParagraph"/>
        <w:numPr>
          <w:ilvl w:val="0"/>
          <w:numId w:val="2"/>
        </w:numPr>
        <w:spacing w:after="110" w:line="264"/>
      </w:pPr>
      <w:r>
        <w:rPr>
          <w:rFonts w:ascii="Arial" w:cs="Arial" w:eastAsia="Arial" w:hAnsi="Arial"/>
          <w:b/>
          <w:bCs/>
          <w:sz w:val="22"/>
          <w:szCs w:val="22"/>
        </w:rPr>
        <w:t xml:space="preserve">Stablecoins and agentic commerce are named by Visa as competition and are unquantifiable from any source. </w:t>
      </w:r>
      <w:r>
        <w:rPr>
          <w:rFonts w:ascii="Arial" w:cs="Arial" w:eastAsia="Arial" w:hAnsi="Arial"/>
          <w:sz w:val="22"/>
          <w:szCs w:val="22"/>
        </w:rPr>
        <w:t xml:space="preserve">Visa's FY2025 10-K cites blockchain payments and stablecoins as gaining regulatory clarity, operating globally around the clock and being capable of supporting cross-border transactions — which is a description of exactly the highest-yielding line in the business. No independent source quantifies displacement to date. Marked unknown rather than dismissed, because the mechanism is coherent and the exposed revenue line is the valuable one.</w:t>
      </w:r>
    </w:p>
    <w:p>
      <w:pPr>
        <w:pStyle w:val="ListParagraph"/>
        <w:numPr>
          <w:ilvl w:val="0"/>
          <w:numId w:val="2"/>
        </w:numPr>
        <w:spacing w:after="110" w:line="264"/>
      </w:pPr>
      <w:r>
        <w:rPr>
          <w:rFonts w:ascii="Arial" w:cs="Arial" w:eastAsia="Arial" w:hAnsi="Arial"/>
          <w:b/>
          <w:bCs/>
          <w:sz w:val="22"/>
          <w:szCs w:val="22"/>
        </w:rPr>
        <w:t xml:space="preserve">Two decades of litigation have not stopped and the disclosed exposure post-dates the annual report. </w:t>
      </w:r>
      <w:r>
        <w:rPr>
          <w:rFonts w:ascii="Arial" w:cs="Arial" w:eastAsia="Arial" w:hAnsi="Arial"/>
          <w:sz w:val="22"/>
          <w:szCs w:val="22"/>
        </w:rPr>
        <w:t xml:space="preserve">Interchange at issue in unresolved US covered claims was $17.4 billion as of 11 May 2026, the auditor treats the opt-out accrual as a critical audit matter, and in Europe more than 1,200 merchant claims have been brought since 2013 with over 950 settled. In February 2026 the UK Competition Appeal Tribunal found that interchange was largely not passed on by merchants — a finding Visa is appealing, and one that, if it stands, affects the quantum of European claims. The retrospective responsibility plan absorbs US covered litigation through Class B dilution, but not the European exposure and not the cash.</w:t>
      </w:r>
    </w:p>
    <w:p>
      <w:pPr>
        <w:pStyle w:val="Heading2"/>
        <w:spacing w:after="180" w:before="180"/>
      </w:pPr>
      <w:r>
        <w:rPr>
          <w:rFonts w:ascii="Arial" w:cs="Arial" w:eastAsia="Arial" w:hAnsi="Arial"/>
          <w:b/>
          <w:bCs/>
          <w:color w:val="1F3864"/>
          <w:sz w:val="28"/>
          <w:szCs w:val="28"/>
        </w:rPr>
        <w:t xml:space="preserve">What the sources could not answer</w:t>
      </w:r>
    </w:p>
    <w:p>
      <w:pPr>
        <w:pStyle w:val="ListParagraph"/>
        <w:numPr>
          <w:ilvl w:val="0"/>
          <w:numId w:val="2"/>
        </w:numPr>
        <w:spacing w:after="110" w:line="264"/>
      </w:pPr>
      <w:r>
        <w:rPr>
          <w:rFonts w:ascii="Arial" w:cs="Arial" w:eastAsia="Arial" w:hAnsi="Arial"/>
          <w:sz w:val="22"/>
          <w:szCs w:val="22"/>
        </w:rPr>
        <w:t xml:space="preserve">The revenue contribution of Prisma and Newpay, and therefore organic growth for FY2026. Visa reports growth on a reported basis only.</w:t>
      </w:r>
    </w:p>
    <w:p>
      <w:pPr>
        <w:pStyle w:val="ListParagraph"/>
        <w:numPr>
          <w:ilvl w:val="0"/>
          <w:numId w:val="2"/>
        </w:numPr>
        <w:spacing w:after="110" w:line="264"/>
      </w:pPr>
      <w:r>
        <w:rPr>
          <w:rFonts w:ascii="Arial" w:cs="Arial" w:eastAsia="Arial" w:hAnsi="Arial"/>
          <w:sz w:val="22"/>
          <w:szCs w:val="22"/>
        </w:rPr>
        <w:t xml:space="preserve">Take rate by product. Visa does not disclose net revenue split between credit, debit and commercial — which is the single most useful missing number, because the account-to-account evidence says the exposure is concentrated in debit.</w:t>
      </w:r>
    </w:p>
    <w:p>
      <w:pPr>
        <w:pStyle w:val="ListParagraph"/>
        <w:numPr>
          <w:ilvl w:val="0"/>
          <w:numId w:val="2"/>
        </w:numPr>
        <w:spacing w:after="110" w:line="264"/>
      </w:pPr>
      <w:r>
        <w:rPr>
          <w:rFonts w:ascii="Arial" w:cs="Arial" w:eastAsia="Arial" w:hAnsi="Arial"/>
          <w:sz w:val="22"/>
          <w:szCs w:val="22"/>
        </w:rPr>
        <w:t xml:space="preserve">Segment profitability of any kind. Visa reports as one operating segment, so the margin on value-added services versus the core switch is not disclosed. Value-added services are 30% of revenue and their profitability is unknown.</w:t>
      </w:r>
    </w:p>
    <w:p>
      <w:pPr>
        <w:pStyle w:val="ListParagraph"/>
        <w:numPr>
          <w:ilvl w:val="0"/>
          <w:numId w:val="2"/>
        </w:numPr>
        <w:spacing w:after="110" w:line="264"/>
      </w:pPr>
      <w:r>
        <w:rPr>
          <w:rFonts w:ascii="Arial" w:cs="Arial" w:eastAsia="Arial" w:hAnsi="Arial"/>
          <w:sz w:val="22"/>
          <w:szCs w:val="22"/>
        </w:rPr>
        <w:t xml:space="preserve">Visa Direct revenue, disclosed only as transaction counts and partner numbers.</w:t>
      </w:r>
    </w:p>
    <w:p>
      <w:pPr>
        <w:pStyle w:val="ListParagraph"/>
        <w:numPr>
          <w:ilvl w:val="0"/>
          <w:numId w:val="2"/>
        </w:numPr>
        <w:spacing w:after="110" w:line="264"/>
      </w:pPr>
      <w:r>
        <w:rPr>
          <w:rFonts w:ascii="Arial" w:cs="Arial" w:eastAsia="Arial" w:hAnsi="Arial"/>
          <w:sz w:val="22"/>
          <w:szCs w:val="22"/>
        </w:rPr>
        <w:t xml:space="preserve">The maintenance-versus-growth split of capital expenditure.</w:t>
      </w:r>
    </w:p>
    <w:p>
      <w:pPr>
        <w:pStyle w:val="ListParagraph"/>
        <w:numPr>
          <w:ilvl w:val="0"/>
          <w:numId w:val="2"/>
        </w:numPr>
        <w:spacing w:after="110" w:line="264"/>
      </w:pPr>
      <w:r>
        <w:rPr>
          <w:rFonts w:ascii="Arial" w:cs="Arial" w:eastAsia="Arial" w:hAnsi="Arial"/>
          <w:sz w:val="22"/>
          <w:szCs w:val="22"/>
        </w:rPr>
        <w:t xml:space="preserve">The identity of the client representing 11% of net revenue.</w:t>
      </w:r>
    </w:p>
    <w:p>
      <w:pPr>
        <w:pStyle w:val="ListParagraph"/>
        <w:numPr>
          <w:ilvl w:val="0"/>
          <w:numId w:val="2"/>
        </w:numPr>
        <w:spacing w:after="110" w:line="264"/>
      </w:pPr>
      <w:r>
        <w:rPr>
          <w:rFonts w:ascii="Arial" w:cs="Arial" w:eastAsia="Arial" w:hAnsi="Arial"/>
          <w:sz w:val="22"/>
          <w:szCs w:val="22"/>
        </w:rPr>
        <w:t xml:space="preserve">A trial date in United States v. Visa, and whether the Federal Reserve formally withdrew its October 2023 proposal to lower the debit interchange cap.</w:t>
      </w:r>
    </w:p>
    <w:p>
      <w:pPr>
        <w:spacing w:after="140" w:line="264"/>
      </w:pPr>
      <w:r>
        <w:rPr>
          <w:rFonts w:ascii="Arial" w:cs="Arial" w:eastAsia="Arial" w:hAnsi="Arial"/>
          <w:sz w:val="22"/>
          <w:szCs w:val="22"/>
        </w:rPr>
        <w:t xml:space="preserve">Three of these would need resolving before an investor could hold a firm view. The debit share of net revenue determines how much of the business is genuinely exposed to account-to-account rails rather than merely adjacent to them. The margin on value-added services determines whether the fastest-growing 30% of revenue is accretive or dilutive to the 60%-plus operating margin. And the outcome of the DOJ case determines whether Visa continues to set the price of US debit switching or has to bid for it.</w:t>
      </w:r>
    </w:p>
    <w:p>
      <w:r>
        <w:br w:type="page"/>
      </w:r>
    </w:p>
    <w:p>
      <w:pPr>
        <w:pStyle w:val="Heading1"/>
        <w:spacing w:after="200" w:before="360"/>
      </w:pPr>
      <w:r>
        <w:rPr>
          <w:rFonts w:ascii="Arial" w:cs="Arial" w:eastAsia="Arial" w:hAnsi="Arial"/>
          <w:b/>
          <w:bCs/>
          <w:color w:val="1F3864"/>
          <w:sz w:val="32"/>
          <w:szCs w:val="32"/>
        </w:rPr>
        <w:t xml:space="preserve">8. Investor Takeaways</w:t>
      </w:r>
    </w:p>
    <w:p>
      <w:pPr>
        <w:pStyle w:val="ListParagraph"/>
        <w:numPr>
          <w:ilvl w:val="0"/>
          <w:numId w:val="2"/>
        </w:numPr>
        <w:spacing w:after="110" w:line="264"/>
      </w:pPr>
      <w:r>
        <w:rPr>
          <w:rFonts w:ascii="Arial" w:cs="Arial" w:eastAsia="Arial" w:hAnsi="Arial"/>
          <w:b/>
          <w:bCs/>
          <w:sz w:val="22"/>
          <w:szCs w:val="22"/>
        </w:rPr>
        <w:t xml:space="preserve">What this business really is: </w:t>
      </w:r>
      <w:r>
        <w:rPr>
          <w:rFonts w:ascii="Arial" w:cs="Arial" w:eastAsia="Arial" w:hAnsi="Arial"/>
          <w:sz w:val="22"/>
          <w:szCs w:val="22"/>
        </w:rPr>
        <w:t xml:space="preserve">a toll on the movement of money that its owner neither lends nor underwrites — paid by both sides of its own platform, on a base of $13.9 trillion, at 0.288%.</w:t>
      </w:r>
    </w:p>
    <w:p>
      <w:pPr>
        <w:pStyle w:val="ListParagraph"/>
        <w:numPr>
          <w:ilvl w:val="0"/>
          <w:numId w:val="2"/>
        </w:numPr>
        <w:spacing w:after="110" w:line="264"/>
      </w:pPr>
      <w:r>
        <w:rPr>
          <w:rFonts w:ascii="Arial" w:cs="Arial" w:eastAsia="Arial" w:hAnsi="Arial"/>
          <w:b/>
          <w:bCs/>
          <w:sz w:val="22"/>
          <w:szCs w:val="22"/>
        </w:rPr>
        <w:t xml:space="preserve">The core economic engine: </w:t>
      </w:r>
      <w:r>
        <w:rPr>
          <w:rFonts w:ascii="Arial" w:cs="Arial" w:eastAsia="Arial" w:hAnsi="Arial"/>
          <w:sz w:val="22"/>
          <w:szCs w:val="22"/>
        </w:rPr>
        <w:t xml:space="preserve">a fixed cost base against a variable revenue base. Network and processing expense is 2.2% of net revenue, so each additional transaction is close to pure margin — which is why the operating margin is 66% before litigation and free cash flow is 54% of revenue.</w:t>
      </w:r>
    </w:p>
    <w:p>
      <w:pPr>
        <w:pStyle w:val="ListParagraph"/>
        <w:numPr>
          <w:ilvl w:val="0"/>
          <w:numId w:val="2"/>
        </w:numPr>
        <w:spacing w:after="110" w:line="264"/>
      </w:pPr>
      <w:r>
        <w:rPr>
          <w:rFonts w:ascii="Arial" w:cs="Arial" w:eastAsia="Arial" w:hAnsi="Arial"/>
          <w:b/>
          <w:bCs/>
          <w:sz w:val="22"/>
          <w:szCs w:val="22"/>
        </w:rPr>
        <w:t xml:space="preserve">The main growth lever: </w:t>
      </w:r>
      <w:r>
        <w:rPr>
          <w:rFonts w:ascii="Arial" w:cs="Arial" w:eastAsia="Arial" w:hAnsi="Arial"/>
          <w:sz w:val="22"/>
          <w:szCs w:val="22"/>
        </w:rPr>
        <w:t xml:space="preserve">selling more onto transactions Visa already carries. Value-added services grew 33% in the June 2026 quarter to roughly 30% of revenue, requiring no new volume and facing no price regulation.</w:t>
      </w:r>
    </w:p>
    <w:p>
      <w:pPr>
        <w:pStyle w:val="ListParagraph"/>
        <w:numPr>
          <w:ilvl w:val="0"/>
          <w:numId w:val="2"/>
        </w:numPr>
        <w:spacing w:after="110" w:line="264"/>
      </w:pPr>
      <w:r>
        <w:rPr>
          <w:rFonts w:ascii="Arial" w:cs="Arial" w:eastAsia="Arial" w:hAnsi="Arial"/>
          <w:b/>
          <w:bCs/>
          <w:sz w:val="22"/>
          <w:szCs w:val="22"/>
        </w:rPr>
        <w:t xml:space="preserve">What could break the story: </w:t>
      </w:r>
      <w:r>
        <w:rPr>
          <w:rFonts w:ascii="Arial" w:cs="Arial" w:eastAsia="Arial" w:hAnsi="Arial"/>
          <w:sz w:val="22"/>
          <w:szCs w:val="22"/>
        </w:rPr>
        <w:t xml:space="preserve">not disintermediation — account-to-account rails have destroyed debit and cash in India and Brazil while credit accelerated — but the loss of pricing discretion. Debit routing under Regulation II and the DOJ case attack it directly; scheme-fee regulation in the UK and Australia attacks it prospectively; rising client incentives are already eroding it quietly, from 18% of gross revenue in FY2016 to 28% today.</w:t>
      </w:r>
    </w:p>
    <w:p>
      <w:pPr>
        <w:pStyle w:val="ListParagraph"/>
        <w:numPr>
          <w:ilvl w:val="0"/>
          <w:numId w:val="2"/>
        </w:numPr>
        <w:spacing w:after="110" w:line="264"/>
      </w:pPr>
      <w:r>
        <w:rPr>
          <w:rFonts w:ascii="Arial" w:cs="Arial" w:eastAsia="Arial" w:hAnsi="Arial"/>
          <w:b/>
          <w:bCs/>
          <w:sz w:val="22"/>
          <w:szCs w:val="22"/>
        </w:rPr>
        <w:t xml:space="preserve">What to monitor: </w:t>
      </w:r>
      <w:r>
        <w:rPr>
          <w:rFonts w:ascii="Arial" w:cs="Arial" w:eastAsia="Arial" w:hAnsi="Arial"/>
          <w:sz w:val="22"/>
          <w:szCs w:val="22"/>
        </w:rPr>
        <w:t xml:space="preserve">the client incentive ratio each quarter, cross-border volume growth excluding intra-Europe, and the two regulatory files — the SDNY docket and the PSR and RBA scheme-fee reviews.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2026-09-07T15:45:27.372Z</dcterms:created>
  <dcterms:modified xsi:type="dcterms:W3CDTF">2026-09-07T15:45:27.372Z</dcterms:modified>
</cp:coreProperties>
</file>

<file path=docProps/custom.xml><?xml version="1.0" encoding="utf-8"?>
<Properties xmlns="http://schemas.openxmlformats.org/officeDocument/2006/custom-properties" xmlns:vt="http://schemas.openxmlformats.org/officeDocument/2006/docPropsVTypes"/>
</file>