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pPr>
      <w:r>
        <w:rPr>
          <w:b/>
          <w:bCs/>
          <w:color w:val="7F7F7F"/>
          <w:sz w:val="26"/>
          <w:szCs w:val="26"/>
        </w:rPr>
        <w:t xml:space="preserve">BUSINESS OVERVIEW</w:t>
      </w:r>
    </w:p>
    <w:p>
      <w:pPr>
        <w:spacing w:after="200"/>
      </w:pPr>
      <w:r>
        <w:rPr>
          <w:b/>
          <w:bCs/>
          <w:color w:val="1F3864"/>
          <w:sz w:val="72"/>
          <w:szCs w:val="72"/>
        </w:rPr>
        <w:t xml:space="preserve">Walmart Inc.</w:t>
      </w:r>
    </w:p>
    <w:p>
      <w:pPr>
        <w:pBdr>
          <w:bottom w:val="single" w:color="1F3864" w:sz="12" w:space="8"/>
        </w:pBdr>
        <w:spacing w:after="500"/>
      </w:pPr>
      <w:r>
        <w:rPr>
          <w:color w:val="404040"/>
          <w:sz w:val="24"/>
          <w:szCs w:val="24"/>
        </w:rPr>
        <w:t xml:space="preserve">NYSE: WMT  ·  fiscal year ends 31 January</w:t>
      </w:r>
    </w:p>
    <w:p>
      <w:pPr>
        <w:spacing w:after="260" w:line="276"/>
      </w:pPr>
      <w:r>
        <w:rPr>
          <w:b/>
          <w:bCs/>
          <w:sz w:val="22"/>
          <w:szCs w:val="22"/>
        </w:rPr>
        <w:t xml:space="preserve">7 September 2026</w:t>
      </w:r>
    </w:p>
    <w:p>
      <w:pPr>
        <w:spacing w:after="200" w:line="276"/>
      </w:pPr>
      <w:r>
        <w:rPr>
          <w:sz w:val="20"/>
          <w:szCs w:val="20"/>
        </w:rPr>
        <w:t xml:space="preserve">Evidence base: Walmart's own SEC filings — 10-Ks for fiscal 2017 through fiscal 2026, the 10-Q for the quarter ended 31 July 2026, the fiscal 2026 fourth-quarter and fiscal 2027 second-quarter earnings releases, and the 2026 proxy statement. Industry structure and competitor economics are drawn from independent sources: USDA Economic Research Service, the US Census Bureau, the Bureau of Labor Statistics, the IAB/PwC Internet Advertising Revenue Report, and the filings of named competitors.</w:t>
      </w:r>
    </w:p>
    <w:p>
      <w:pPr>
        <w:spacing w:after="140" w:line="276"/>
      </w:pPr>
      <w:r>
        <w:rPr>
          <w:i/>
          <w:iCs/>
          <w:sz w:val="20"/>
          <w:szCs w:val="20"/>
        </w:rPr>
        <w:t xml:space="preserve">This document explains how the business works. It is not a valuation and not a recommendation. Figures marked (inferred) are calculations from sourced figures; items the sources could not answer are stated as such and collected in Section 7.</w:t>
      </w:r>
    </w:p>
    <w:p>
      <w:pPr>
        <w:pStyle w:val="Heading1"/>
        <w:pageBreakBefore/>
      </w:pPr>
      <w:r>
        <w:t xml:space="preserve">1.  Executive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What the business is</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The world's largest retailer by revenue: 11,000 stores and clubs in 19 countries, $713.2bn of fiscal 2026 revenue, of which the two US segments produced approximately 82% (FY2026 10-K).</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Industry</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US mass grocery and general merchandise retail — a 1–5% operating margin industry — with a fast-growing advertising, membership and marketplace layer attached to the same customer traffic.</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How it makes money</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Sells household replenishment goods at deliberately thin merchandise margins to generate traffic, earns on a scale-driven cost advantage, and increasingly monetises that traffic a second time through advertising, membership fees and marketplace services.</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Unit of economics</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The store, and the transaction inside it. A US store turned $104.7m of sales in fiscal 2026 at a 5.2% segment operating margin; a Sam's Club turned $154.8m at 2.6% (FY2026 10-K; per-store figures inferred).</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What protects it</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Local store density matched to a distribution network built for it — 4,611 US stores and 601 clubs served by 192 US distribution facilities. An entrant must build the network before it has the stores to fill it (FY2026 10-K).</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What drives earnings</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(1) US comparable sales, now supplied almost entirely by digitally initiated orders; (2) the mix shift into advertising, membership and marketplace; (3) the operating expense rate against a capital programme that has doubled as a share of revenue.</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What to watch</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The comp residual once the eCommerce contribution is stripped out; whether operating income grows faster than net sales; capex against depreciation; health-and-wellness sales under drug-price regulation.</w:t>
            </w:r>
          </w:p>
        </w:tc>
      </w:tr>
      <w:tr>
        <w:trPr>
          <w:cantSplit/>
        </w:trPr>
        <w:tc>
          <w:tcPr>
            <w:tcW w:type="dxa" w:w="21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Cycle exposure</w:t>
            </w:r>
          </w:p>
        </w:tc>
        <w:tc>
          <w:tcPr>
            <w:tcW w:type="dxa" w:w="72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Low on volume, medium on margin. Food demand does not cycle; where food is bought does, and it has historically moved toward this format.</w:t>
            </w:r>
          </w:p>
        </w:tc>
      </w:tr>
    </w:tbl>
    <w:p>
      <w:pPr>
        <w:pStyle w:val="Heading1"/>
        <w:pageBreakBefore/>
      </w:pPr>
      <w:r>
        <w:t xml:space="preserve">2.  What the Company Does</w:t>
      </w:r>
    </w:p>
    <w:p>
      <w:pPr>
        <w:spacing w:after="140" w:line="276"/>
      </w:pPr>
      <w:r>
        <w:rPr>
          <w:sz w:val="22"/>
          <w:szCs w:val="22"/>
        </w:rPr>
        <w:t xml:space="preserve">Walmart solves a recurring, unglamorous problem: a household needs roughly the same basket of food, consumables and general merchandise every week, and wants it at the lowest total cost of money and time. The company's answer is a pricing philosophy it calls everyday low price, which it defines as pricing items low every day "so our customers trust that our prices will not change under frequent promotional activity," funded by everyday low cost, "our commitment to control expenses so our cost savings can be passed along to our customers" (FY2026 10-K). The promise is not a discount on any given item. It is the removal of the need to shop around.</w:t>
      </w:r>
    </w:p>
    <w:p>
      <w:pPr>
        <w:spacing w:after="140" w:line="276"/>
      </w:pPr>
      <w:r>
        <w:rPr>
          <w:sz w:val="22"/>
          <w:szCs w:val="22"/>
        </w:rPr>
        <w:t xml:space="preserve">The unit of economics is the store, and inside it the transaction. Trace one dollar of fiscal 2026 sales. Of every $100 of net sales, $75.80 went to cost of goods, leaving $24.20 of gross profit; $20.90 went to operating, selling, general and administrative expense, leaving $4.20 of operating income; after interest, investment marks and tax, $3.15 reached net income (FY2026 10-K; net margin inferred). Sitting outside net sales is $6.75bn of membership and other income — less than 1% of the top line, but disproportionately profit because it carries almost no cost of goods.</w:t>
      </w:r>
    </w:p>
    <w:p>
      <w:pPr>
        <w:spacing w:after="140" w:line="276"/>
      </w:pPr>
      <w:r>
        <w:rPr>
          <w:sz w:val="22"/>
          <w:szCs w:val="22"/>
        </w:rPr>
        <w:t xml:space="preserve">Scale that to one store. Walmart's 4,611 US stores occupy 698.7m square feet and produced $483.0bn of net sales, which is $104.7m per store and $691 per square foot (FY2026 10-K; per-unit figures inferred). Sam's Club's 601 clubs did $154.8m each and $1,148 per square foot — roughly 1.7 times the sales productivity at half the operating margin, 2.6% against 5.2%. The productivity difference is a merchandising choice, not a profit advantage.</w:t>
      </w:r>
    </w:p>
    <w:p>
      <w:pPr>
        <w:spacing w:after="140" w:line="276"/>
      </w:pPr>
      <w:r>
        <w:rPr>
          <w:sz w:val="22"/>
          <w:szCs w:val="22"/>
        </w:rPr>
        <w:t xml:space="preserve">The cash mechanics are the other half of the unit: accounts payable of $63.1bn exceed inventory of $58.9bn, and the cash conversion cycle runs at about three days (FY2026 10-K; cycle inferred). Suppliers finance the shelf. That is why the company can state plainly that it "generally operates with a working capital deficit due to our efficient use of cash in funding operations."</w:t>
      </w:r>
    </w:p>
    <w:p>
      <w:pPr>
        <w:spacing w:after="140" w:line="276"/>
      </w:pPr>
      <w:r>
        <w:rPr>
          <w:sz w:val="22"/>
          <w:szCs w:val="22"/>
        </w:rPr>
        <w:t xml:space="preserve">Three segments carry the business. Walmart US produced 68% of consolidated net sales and $25.2bn of operating income; Walmart International 19% and $5.1bn; Sam's Club US 13% and $2.4bn; corporate and support absorbed a $2.9bn operating loss (FY2026 10-K).</w:t>
      </w:r>
    </w:p>
    <w:p>
      <w:pPr>
        <w:spacing w:after="140" w:line="276"/>
      </w:pPr>
      <w:r>
        <w:rPr>
          <w:sz w:val="22"/>
          <w:szCs w:val="22"/>
        </w:rPr>
        <w:t xml:space="preserve">Within Walmart US the mix is the story. Grocery was 59.1% of segment net sales in fiscal 2026, general merchandise 23.8%, health and wellness 14.4%, and other categories 2.7% (FY2026 10-K; percentages inferred). Grocery is the traffic engine and the thinnest margin; general merchandise is where the gross margin lives. That trade has been running the wrong way — health and wellness added roughly 200 basis points of mix in two years while general merchandise dollars grew 0.9% cumulatively over the same period (inferred). The company is not choosing to sell less general merchandise; the customer is choosing to buy less of it, and each point of mix shift costs gross margin.</w:t>
      </w:r>
    </w:p>
    <w:p>
      <w:pPr>
        <w:spacing w:after="140" w:line="276"/>
      </w:pPr>
      <w:r>
        <w:rPr>
          <w:sz w:val="22"/>
          <w:szCs w:val="22"/>
        </w:rPr>
        <w:t xml:space="preserve">Sam's Club is a different business wearing the same corporate name, and its economics say so. In fiscal 2026 the segment's gross profit rate of 11.3% was below its operating expense rate of 11.4%. The reported $2,442m of operating income exists because $2,525m of membership and other income is added to it (FY2026 10-K). The merchandise operation is approximately break-even before membership fees, which the filing concedes in words: "As a membership-only club, membership income is a significant component of the segment's operating income." Sam's raised its annual membership fees effective 1 May 2026; because fees are deferred and recognised ratably, that benefit phases through fiscal 2027 and 2028 rather than landing at once.</w:t>
      </w:r>
    </w:p>
    <w:p>
      <w:pPr>
        <w:spacing w:after="140" w:line="276"/>
      </w:pPr>
      <w:r>
        <w:rPr>
          <w:sz w:val="22"/>
          <w:szCs w:val="22"/>
        </w:rPr>
        <w:t xml:space="preserve">The lines the company is entering are where the incremental margin is. Advertising revenue reached nearly $6.4bn in fiscal 2026, up 46% (Q4 FY2026 earnings release). Membership fee revenue was $4.4bn, up 15.1% globally (FY2026 10-K; growth per Q4 FY2026 release). Walmart US marketplace sales grew 52% in the quarter ended 31 July 2026 (Q2 FY2027 presentation).</w:t>
      </w:r>
    </w:p>
    <w:p>
      <w:pPr>
        <w:spacing w:after="140" w:line="276"/>
      </w:pPr>
      <w:r>
        <w:rPr>
          <w:sz w:val="22"/>
          <w:szCs w:val="22"/>
        </w:rPr>
        <w:t xml:space="preserve">These sell something the retailer already owns and has already paid for — first-party purchase data, screen and shelf placement, and spare capacity in a truck that was going out anyway — so incremental cost is infrastructure rather than cost of goods. They are the reason gross margin has risen in each of the last three years despite an adverse merchandise mix.</w:t>
      </w:r>
    </w:p>
    <w:p>
      <w:pPr>
        <w:spacing w:after="140" w:line="276"/>
      </w:pPr>
      <w:r>
        <w:rPr>
          <w:sz w:val="22"/>
          <w:szCs w:val="22"/>
        </w:rPr>
        <w:t xml:space="preserve">eCommerce is the delivery mechanism for all of it. Global eCommerce net sales reached $150.4bn in fiscal 2026, 21.3% of net sales, up from 15.6% two years earlier (FY2026 10-K; totals and penetration inferred), and grew 23% again in the most recent quarter "primarily driven by store and club-fulfilled delivery" (Q2 FY2027 10-Q). One caveat belongs here rather than in a footnote: in fiscal 2026 Walmart redefined eCommerce net sales to include "certain advertising arrangements, fulfillment services, and data insights," and the comparable-sales definition already folded advertising in from fiscal 2023. </w:t>
      </w:r>
      <w:r>
        <w:rPr>
          <w:b/>
          <w:bCs/>
          <w:sz w:val="22"/>
          <w:szCs w:val="22"/>
        </w:rPr>
        <w:t xml:space="preserve">The eCommerce series is therefore not a like-for-like merchandise channel figure across the period, and no filing quantifies how much of the growth is definitional.</w:t>
      </w:r>
    </w:p>
    <w:p>
      <w:pPr>
        <w:pStyle w:val="Heading1"/>
        <w:pageBreakBefore/>
      </w:pPr>
      <w:r>
        <w:t xml:space="preserve">3.  Industry, Competitive Position and Moat</w:t>
      </w:r>
    </w:p>
    <w:p>
      <w:pPr>
        <w:spacing w:after="140" w:line="276"/>
      </w:pPr>
      <w:r>
        <w:rPr>
          <w:sz w:val="22"/>
          <w:szCs w:val="22"/>
        </w:rPr>
        <w:t xml:space="preserve">US food and discount retail is a business in which almost nothing separates the competitors at the operating line. Reported operating margins across the format range run from 1.3% at Kroger to 5.2% at Dollar General, on gross margins ranging from 11.1% to 30.7% (companies' most recent annual filings). The gross margin tells you what format you are looking at; the operating margin tells you almost nothing. Profit is not made on the merchandise spread. It is made on throughput per square foot, on the cost of moving a case from a distribution centre to a shelf, and — increasingly — on revenue attached to the transaction rather than to the goods.</w:t>
      </w:r>
    </w:p>
    <w:p>
      <w:pPr>
        <w:spacing w:after="140" w:line="276"/>
      </w:pPr>
      <w:r>
        <w:rPr>
          <w:sz w:val="22"/>
          <w:szCs w:val="22"/>
        </w:rPr>
        <w:t xml:space="preserve">The defining structural fact of the last three decades is a format shift. Warehouse clubs and supercenters took US food-at-home sales share from 9.4% in 1997 to 26.4% in 2025, a 317% increase in real sales, while conventional grocery stores fell from 72.2% to 56.2% (USDA Economic Research Service, Retail Trends). No marketing claim produces a 17-point share transfer over 28 years. It is the observable result of a price position that customers acted on.</w:t>
      </w:r>
    </w:p>
    <w:p>
      <w:pPr>
        <w:spacing w:after="140" w:line="276"/>
      </w:pPr>
      <w:r>
        <w:rPr>
          <w:sz w:val="22"/>
          <w:szCs w:val="22"/>
        </w:rPr>
        <w:t xml:space="preserve">But the market that matters is local, and national statistics flatter everyone in it. USDA ERS measures national four-firm concentration in US food retail at 34% and a national Herfindahl index of 593 — unconcentrated by antitrust thresholds — while the average county sits at 3,737 and the average rural county at 5,584 (ERS Report ERR-314, 2023, using 2019 data).</w:t>
      </w:r>
    </w:p>
    <w:p>
      <w:pPr>
        <w:spacing w:after="140" w:line="276"/>
      </w:pPr>
      <w:r>
        <w:rPr>
          <w:sz w:val="22"/>
          <w:szCs w:val="22"/>
        </w:rPr>
        <w:t xml:space="preserve">Between 1990 and 2019 national concentration rose 458% while county concentration rose 94%. ERS justifies the county proxy on behaviour: shoppers travel between four and ten miles to the stores they use. The consequence for an investor is direct. A national share figure is a poor proxy for pricing power, because pricing power is decided inside a ten-mile radius, one trade area at a time.</w:t>
      </w:r>
    </w:p>
    <w:p>
      <w:pPr>
        <w:spacing w:after="140" w:line="276"/>
      </w:pPr>
      <w:r>
        <w:rPr>
          <w:sz w:val="22"/>
          <w:szCs w:val="22"/>
        </w:rPr>
        <w:t xml:space="preserve">What actually binds an entrant is not capital. It is sequence. A distribution centre is only economic once enough stores are within reach of it, and a store is only economic once a distribution centre can serve it cheaply — so the entrant must build the second before it can profit from the first. Walmart's 4,611 US stores and 601 clubs are served by 192 US distribution facilities (FY2026 10-K), a lattice assembled over six decades.</w:t>
      </w:r>
    </w:p>
    <w:p>
      <w:pPr>
        <w:spacing w:after="140" w:line="276"/>
      </w:pPr>
      <w:r>
        <w:rPr>
          <w:sz w:val="22"/>
          <w:szCs w:val="22"/>
        </w:rPr>
        <w:t xml:space="preserve">The best available evidence that this binds comes from the entrant that is trying hardest: Aldi is adding US stores toward 3,200 by 2028 on a stated $9bn five-year budget, is funding three new distribution centres ahead of the stores they will serve, and is acquiring roughly 80 Southeastern Grocers locations in 2026 with 200-plus conversions planned by end-2027 (ALDI US corporate disclosures, January 2026). A well-funded discounter with a proven European model is buying existing trade areas because it cannot create them fast enough. Purchasing scale and private label, by contrast, are reproducible — Aldi and Dollar General both demonstrate that a focused operator can match or beat a mass merchant on shelf price within a narrow assortment.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830"/>
        <w:gridCol w:w="1140"/>
        <w:gridCol w:w="1010"/>
        <w:gridCol w:w="1150"/>
        <w:gridCol w:w="3900"/>
      </w:tblGrid>
      <w:tr>
        <w:trPr>
          <w:cantSplit/>
          <w:tblHeader/>
        </w:trPr>
        <w:tc>
          <w:tcPr>
            <w:tcW w:type="dxa" w:w="133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Company</w:t>
            </w:r>
          </w:p>
        </w:tc>
        <w:tc>
          <w:tcPr>
            <w:tcW w:type="dxa" w:w="83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FY end</w:t>
            </w:r>
          </w:p>
        </w:tc>
        <w:tc>
          <w:tcPr>
            <w:tcW w:type="dxa" w:w="114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Revenue</w:t>
            </w:r>
          </w:p>
        </w:tc>
        <w:tc>
          <w:tcPr>
            <w:tcW w:type="dxa" w:w="101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Gross margin</w:t>
            </w:r>
          </w:p>
        </w:tc>
        <w:tc>
          <w:tcPr>
            <w:tcW w:type="dxa" w:w="115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Operating margin</w:t>
            </w:r>
          </w:p>
        </w:tc>
        <w:tc>
          <w:tcPr>
            <w:tcW w:type="dxa" w:w="390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What structurally explains the margin</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Walmart</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Jan 2026</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$713.2bn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24.2%</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4.2%</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General-merchandise mix subsidises thin grocery margins; membership and advertising layered on top of existing traffic</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Amazon</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Dec 2025</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$716.9bn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n/d</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11.2%</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Retail merchandise is not the profit source: AWS earned $45.6bn of operating income and advertising billed $68.6bn</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Costco</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Aug 2025</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$275.2bn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11.1%</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1.8%</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Merchandise sold near cost; $5,323m of membership fees exceed the $5,060m of total operating income</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Kroger</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Feb 2026</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$147.6bn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n/d</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1.3%</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Pure grocery with no general-merchandise mix and no membership annuity; $1.5bn of alternative-profit income is most of the operating profit</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Target</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Jan 2026</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$104.8bn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27.9%</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4.9%</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Discretionary and apparel mix lifts gross margin — and is why comparable sales fell 2.6% while grocery-weighted peers grew</w:t>
            </w:r>
          </w:p>
        </w:tc>
      </w:tr>
      <w:tr>
        <w:trPr>
          <w:cantSplit/>
        </w:trPr>
        <w:tc>
          <w:tcPr>
            <w:tcW w:type="dxa" w:w="13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Dollar General</w:t>
            </w:r>
          </w:p>
        </w:tc>
        <w:tc>
          <w:tcPr>
            <w:tcW w:type="dxa" w:w="83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Jan 2026</w:t>
            </w:r>
          </w:p>
        </w:tc>
        <w:tc>
          <w:tcPr>
            <w:tcW w:type="dxa" w:w="11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$42.7bn</w:t>
            </w:r>
          </w:p>
        </w:tc>
        <w:tc>
          <w:tcPr>
            <w:tcW w:type="dxa" w:w="101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30.7%</w:t>
            </w:r>
          </w:p>
        </w:tc>
        <w:tc>
          <w:tcPr>
            <w:tcW w:type="dxa" w:w="11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5.2%</w:t>
            </w:r>
          </w:p>
        </w:tc>
        <w:tc>
          <w:tcPr>
            <w:tcW w:type="dxa" w:w="3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Small box, low rent, few labour hours per store, roughly 82% consumables at high private-label penetration</w:t>
            </w:r>
          </w:p>
        </w:tc>
      </w:tr>
    </w:tbl>
    <w:p>
      <w:pPr>
        <w:spacing w:after="200" w:before="60" w:line="240"/>
      </w:pPr>
      <w:r>
        <w:rPr>
          <w:i/>
          <w:iCs/>
          <w:color w:val="555555"/>
          <w:sz w:val="17"/>
          <w:szCs w:val="17"/>
        </w:rPr>
        <w:t xml:space="preserve">Each company's most recent annual filing or results release. Gross margin is not disclosed on a comparable basis by Kroger or Amazon. Walmart notes that it includes only a portion of its distribution-facility costs in cost of sales, so its gross margin "may not be comparable to those of other retailers" (FY2026 10-K).</w:t>
      </w:r>
    </w:p>
    <w:p>
      <w:pPr>
        <w:spacing w:after="140" w:line="276"/>
      </w:pPr>
      <w:r>
        <w:rPr>
          <w:sz w:val="22"/>
          <w:szCs w:val="22"/>
        </w:rPr>
        <w:t xml:space="preserve">Read against that table, Walmart's claim to a low cost structure holds only in a specific sense. Costco delivers merchandise to the customer on an 11.1% gross margin, less than half of Walmart's 24.2% — its cost to serve per dollar of goods is materially lower. Dollar General runs a leaner box per square foot. Walmart is low-cost among mass merchants, not low-cost absolutely.</w:t>
      </w:r>
    </w:p>
    <w:p>
      <w:pPr>
        <w:spacing w:after="140" w:line="276"/>
      </w:pPr>
      <w:r>
        <w:rPr>
          <w:sz w:val="22"/>
          <w:szCs w:val="22"/>
        </w:rPr>
        <w:t xml:space="preserve">Its genuine distinction is combinatorial: it is the only US operator that pairs national grocery scale with a general-merchandise mix, an owned last mile out of stores customers already live near, and now a first-party advertising business sized against that traffic. Any one of those a competitor can match. The set is what would be expensive to reproduce.</w:t>
      </w:r>
    </w:p>
    <w:p>
      <w:pPr>
        <w:spacing w:after="140" w:line="276"/>
      </w:pPr>
      <w:r>
        <w:rPr>
          <w:sz w:val="22"/>
          <w:szCs w:val="22"/>
        </w:rPr>
        <w:t xml:space="preserve">The fulfilment architecture is where that combination is currently paying, and the counter-evidence is unusually clean. Kroger took a $2,497m impairment on its automated eCommerce fulfilment network in fiscal 2025 and now speaks of establishing "a path to eCommerce profitability" on more than $16bn of eCommerce sales — an admission that it is not there yet. Amazon announced in January 2026 that it is closing its Amazon Go and Amazon Fresh stores, stating it had not "created a truly distinctive customer experience with the right economic model needed for large-scale expansion." Walmart's eCommerce grows out of assets it already owns and has already depreciated, and Target reports 97.6% of merchandise sales fulfilled from stores. The evidence so far is that automating the flow from distribution centre to store works, and automating the pick from a dedicated shed to a consumer has not.</w:t>
      </w:r>
    </w:p>
    <w:p>
      <w:pPr>
        <w:spacing w:after="140" w:line="276"/>
      </w:pPr>
      <w:r>
        <w:rPr>
          <w:sz w:val="22"/>
          <w:szCs w:val="22"/>
        </w:rPr>
        <w:t xml:space="preserve">Testing the company's own account against that outside evidence: the everyday-low-price claim is supported — the USDA format-share record is precisely what a 28-year price-position win looks like, and fiscal 2026 US comparable sales of 4.3% against Target's −2.6% show the position still binding. The low-cost claim is only partially supported, for the reasons above. Advertising, membership and marketplace are supported on growth and only partially on materiality: advertising grew 46% against a US commerce-media category growing 18.0% to $63.4bn in 2025 (IAB/PwC Internet Advertising Revenue Report, published April 2026), so the share gain is real, but $6.4bn is 0.9% of Walmart's revenue and consolidated gross margin moved only 8 basis points. The claim that scale confers durable protection is the one outside evidence partially contradicts: national scale protects the cost base, but it does not protect any specific trade area from an entrant buying its way in.</w:t>
      </w:r>
    </w:p>
    <w:p>
      <w:pPr>
        <w:spacing w:after="140" w:line="276"/>
      </w:pPr>
      <w:r>
        <w:rPr>
          <w:sz w:val="22"/>
          <w:szCs w:val="22"/>
        </w:rPr>
        <w:t xml:space="preserve">The kind of company that wins in this industry already owns irreplaceable local density, layers capital-light revenue attached to the transaction on top of it, and fulfils online orders from assets it has already paid for rather than building new ones. Walmart is that kind of company. The open question is not whether it is well positioned. It is whether the second layer can grow large enough, fast enough, to change a 4.2% operating margin.</w:t>
      </w:r>
    </w:p>
    <w:p>
      <w:pPr>
        <w:pStyle w:val="Heading1"/>
        <w:pageBreakBefore/>
      </w:pPr>
      <w:r>
        <w:t xml:space="preserve">4.  Growth Engine</w:t>
      </w:r>
    </w:p>
    <w:p>
      <w:pPr>
        <w:spacing w:after="140" w:line="276"/>
      </w:pPr>
      <w:r>
        <w:rPr>
          <w:sz w:val="22"/>
          <w:szCs w:val="22"/>
        </w:rPr>
        <w:t xml:space="preserve">Fiscal 2026 revenue grew 4.7% to $713.2bn. Almost none of that was acquired. Payments for business acquisitions net of cash were $53m, against $1,896m the prior year for VIZIO, so the reported and organic rates are effectively the same once currency is removed (FY2026 10-K).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cantSplit/>
          <w:tblHeader/>
        </w:trPr>
        <w:tc>
          <w:tcPr>
            <w:tcW w:type="dxa" w:w="450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Fiscal 2026 growth decomposition</w:t>
            </w:r>
          </w:p>
        </w:tc>
        <w:tc>
          <w:tcPr>
            <w:tcW w:type="dxa" w:w="200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Effect</w:t>
            </w:r>
          </w:p>
        </w:tc>
        <w:tc>
          <w:tcPr>
            <w:tcW w:type="dxa" w:w="286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Basis</w:t>
            </w:r>
          </w:p>
        </w:tc>
      </w:tr>
      <w:tr>
        <w:trPr>
          <w:cantSplit/>
        </w:trP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Total revenue growth, as reported</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+4.7%</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FY2026 10-K</w:t>
            </w:r>
          </w:p>
        </w:tc>
      </w:tr>
      <w:tr>
        <w:trPr>
          <w:cantSplit/>
        </w:trP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Currency translation on net sales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−$2.8bn, ≈ −0.4pp</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FY2026 10-K (pp inferred)</w:t>
            </w:r>
          </w:p>
        </w:tc>
      </w:tr>
      <w:tr>
        <w:trPr>
          <w:cantSplit/>
        </w:trP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Acquisitions, net of cash acquired</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$53m — immaterial</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FY2026 10-K</w:t>
            </w:r>
          </w:p>
        </w:tc>
      </w:tr>
      <w:tr>
        <w:trPr>
          <w:cantSplit/>
        </w:trP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Sales growth, constant currency</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+5.1%</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2026 proxy, incentive-plan disclosure</w:t>
            </w:r>
          </w:p>
        </w:tc>
      </w:tr>
      <w:tr>
        <w:trPr>
          <w:cantSplit/>
        </w:trPr>
        <w:tc>
          <w:tcPr>
            <w:tcW w:type="dxa" w:w="4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Organic, constant currency</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 +5.1%</w:t>
            </w:r>
          </w:p>
        </w:tc>
        <w:tc>
          <w:tcPr>
            <w:tcW w:type="dxa" w:w="28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inferred</w:t>
            </w:r>
          </w:p>
        </w:tc>
      </w:tr>
    </w:tbl>
    <w:p>
      <w:pPr>
        <w:spacing w:after="200" w:before="60" w:line="240"/>
      </w:pPr>
      <w:r>
        <w:rPr>
          <w:i/>
          <w:iCs/>
          <w:color w:val="555555"/>
          <w:sz w:val="17"/>
          <w:szCs w:val="17"/>
        </w:rPr>
        <w:t xml:space="preserve">The reported-versus-organic distinction that matters for Walmart is historical, not current. International net sales fell from $121.4bn in fiscal 2021 to $101.0bn in fiscal 2022 on the disposals of Asda, Seiyu and Argentina, and prior years were not restated — so growth rates spanning that boundary are meaningless.</w:t>
      </w:r>
    </w:p>
    <w:p>
      <w:pPr>
        <w:spacing w:after="140" w:line="276"/>
      </w:pPr>
      <w:r>
        <w:rPr>
          <w:sz w:val="22"/>
          <w:szCs w:val="22"/>
        </w:rPr>
        <w:t xml:space="preserve">The most important number in this section is not the growth rate. It is the composition of the comp. Walmart US comparable sales grew 4.3% in fiscal 2026, and the eCommerce contribution to that comp was 4.3 percentage points (FY2026 10-K). The residual from store-initiated shopping was approximately zero. In the quarter ended 31 July 2026 the calendar comp was 3.3% while the eCommerce contribution was 4.9 points — the store-initiated residual has turned negative by roughly 1.6 points (inferred).</w:t>
      </w:r>
    </w:p>
    <w:p>
      <w:pPr>
        <w:spacing w:after="140" w:line="276"/>
      </w:pPr>
      <w:r>
        <w:rPr>
          <w:sz w:val="22"/>
          <w:szCs w:val="22"/>
        </w:rPr>
        <w:t xml:space="preserve">On the retail calendar the release reports a 2.6% ex-fuel comp built from transactions up 1.5% and average ticket up 1.1% (Q2 FY2027 release). Growth is real, it is well above the industry, and it now arrives entirely through the digital order. That is not a problem in itself — a store-fulfilled digital order is still a store sale — but it means the physical trip, which is what the advertising and cross-category businesses monetise, is no longer growing.</w:t>
      </w:r>
    </w:p>
    <w:p>
      <w:pPr>
        <w:spacing w:after="140" w:line="276"/>
      </w:pPr>
      <w:r>
        <w:rPr>
          <w:sz w:val="22"/>
          <w:szCs w:val="22"/>
        </w:rPr>
        <w:t xml:space="preserve">Ranked by contribution, the levers are these.</w:t>
      </w:r>
    </w:p>
    <w:p>
      <w:pPr>
        <w:pStyle w:val="ListParagraph"/>
        <w:numPr>
          <w:ilvl w:val="0"/>
          <w:numId w:val="2"/>
        </w:numPr>
        <w:spacing w:after="100" w:line="276"/>
      </w:pPr>
      <w:r>
        <w:rPr>
          <w:b/>
          <w:bCs/>
          <w:sz w:val="22"/>
          <w:szCs w:val="22"/>
        </w:rPr>
        <w:t xml:space="preserve">eCommerce fulfilled from owned stores — structural. </w:t>
      </w:r>
      <w:r>
        <w:rPr>
          <w:sz w:val="22"/>
          <w:szCs w:val="22"/>
        </w:rPr>
        <w:t xml:space="preserve">$150.4bn of net sales in fiscal 2026, up 24.4% (inferred), 21.3% of net sales against 15.6% two years earlier, and up 23% again in the most recent quarter. The mechanism is that fixed assets already carrying the merchandise business absorb the fulfilment cost, which is exactly the economics Kroger could not reproduce with dedicated sheds.</w:t>
      </w:r>
    </w:p>
    <w:p>
      <w:pPr>
        <w:pStyle w:val="ListParagraph"/>
        <w:numPr>
          <w:ilvl w:val="0"/>
          <w:numId w:val="2"/>
        </w:numPr>
        <w:spacing w:after="100" w:line="276"/>
      </w:pPr>
      <w:r>
        <w:rPr>
          <w:b/>
          <w:bCs/>
          <w:sz w:val="22"/>
          <w:szCs w:val="22"/>
        </w:rPr>
        <w:t xml:space="preserve">Advertising — structural, and management-driven in its pace. </w:t>
      </w:r>
      <w:r>
        <w:rPr>
          <w:sz w:val="22"/>
          <w:szCs w:val="22"/>
        </w:rPr>
        <w:t xml:space="preserve">Nearly $6.4bn in fiscal 2026, up 46%; up 38% globally in the most recent quarter with Walmart Connect excluding VIZIO up 43%. Against a US commerce-media market growing 18.0%, Walmart is compounding at more than twice category rate. It sells shelf placement and first-party purchase data generated by transactions that were happening anyway, so incremental margin approaches software levels — which is why gross margin rose in a year when merchandise mix worked against it.</w:t>
      </w:r>
    </w:p>
    <w:p>
      <w:pPr>
        <w:pStyle w:val="ListParagraph"/>
        <w:numPr>
          <w:ilvl w:val="0"/>
          <w:numId w:val="2"/>
        </w:numPr>
        <w:spacing w:after="100" w:line="276"/>
      </w:pPr>
      <w:r>
        <w:rPr>
          <w:b/>
          <w:bCs/>
          <w:sz w:val="22"/>
          <w:szCs w:val="22"/>
        </w:rPr>
        <w:t xml:space="preserve">Marketplace and fulfilment services — structural. </w:t>
      </w:r>
      <w:r>
        <w:rPr>
          <w:sz w:val="22"/>
          <w:szCs w:val="22"/>
        </w:rPr>
        <w:t xml:space="preserve">Walmart US marketplace sales grew 52% in the quarter ended 31 July 2026. Third-party sales carry no inventory risk and generate both a take rate and demand for the advertising and fulfilment products sold to the same sellers. Amazon's $191.2bn of third-party seller services revenue is the proof of concept at scale.</w:t>
      </w:r>
    </w:p>
    <w:p>
      <w:pPr>
        <w:pStyle w:val="ListParagraph"/>
        <w:numPr>
          <w:ilvl w:val="0"/>
          <w:numId w:val="2"/>
        </w:numPr>
        <w:spacing w:after="100" w:line="276"/>
      </w:pPr>
      <w:r>
        <w:rPr>
          <w:b/>
          <w:bCs/>
          <w:sz w:val="22"/>
          <w:szCs w:val="22"/>
        </w:rPr>
        <w:t xml:space="preserve">Membership — structural. </w:t>
      </w:r>
      <w:r>
        <w:rPr>
          <w:sz w:val="22"/>
          <w:szCs w:val="22"/>
        </w:rPr>
        <w:t xml:space="preserve">Membership fee revenue of $4.4bn in fiscal 2026, up 15.1% globally and 17% in the most recent quarter, with Walmart+ growing double digits. Costco is the benchmark for what this stream is worth at maturity: its $5,323m of fiscal 2025 membership fees exceeded its entire operating income. Walmart never discloses member counts, so the runway cannot be sized from the filings.</w:t>
      </w:r>
    </w:p>
    <w:p>
      <w:pPr>
        <w:pStyle w:val="ListParagraph"/>
        <w:numPr>
          <w:ilvl w:val="0"/>
          <w:numId w:val="2"/>
        </w:numPr>
        <w:spacing w:after="100" w:line="276"/>
      </w:pPr>
      <w:r>
        <w:rPr>
          <w:b/>
          <w:bCs/>
          <w:sz w:val="22"/>
          <w:szCs w:val="22"/>
        </w:rPr>
        <w:t xml:space="preserve">International, led by China — cyclical and structural in combination. </w:t>
      </w:r>
      <w:r>
        <w:rPr>
          <w:sz w:val="22"/>
          <w:szCs w:val="22"/>
        </w:rPr>
        <w:t xml:space="preserve">China net sales grew 23.3% to $24.6bn in fiscal 2026 and 28.2% in the most recent quarter, while Mexico and Central America — the largest international market at 40% of segment sales — grew 1.0% in reported dollars. International segment operating margin nonetheless fell from 4.5% to 3.9%, on "strategic growth investments in price and delivery capabilities" and a $0.7bn PhonePe share-based compensation charge.</w:t>
      </w:r>
    </w:p>
    <w:p>
      <w:pPr>
        <w:pStyle w:val="ListParagraph"/>
        <w:numPr>
          <w:ilvl w:val="0"/>
          <w:numId w:val="2"/>
        </w:numPr>
        <w:spacing w:after="100" w:line="276"/>
      </w:pPr>
      <w:r>
        <w:rPr>
          <w:b/>
          <w:bCs/>
          <w:sz w:val="22"/>
          <w:szCs w:val="22"/>
        </w:rPr>
        <w:t xml:space="preserve">Health and wellness — was temporary, and has now reversed. </w:t>
      </w:r>
      <w:r>
        <w:rPr>
          <w:sz w:val="22"/>
          <w:szCs w:val="22"/>
        </w:rPr>
        <w:t xml:space="preserve">The category grew 12.0% in fiscal 2026 to 14.4% of Walmart US net sales, having added roughly 200 basis points of mix in two years. In the most recent quarter it fell 1.8% year on year "primarily due to the impact from maximum fair price regulation on certain prescription drugs, which went into effect in January 2026" (Q2 FY2027 10-Q). The single largest mix contributor of the last two years has become a headwind by regulation.</w:t>
      </w:r>
    </w:p>
    <w:p>
      <w:pPr>
        <w:pStyle w:val="ListParagraph"/>
        <w:numPr>
          <w:ilvl w:val="0"/>
          <w:numId w:val="2"/>
        </w:numPr>
        <w:spacing w:after="100" w:line="276"/>
      </w:pPr>
      <w:r>
        <w:rPr>
          <w:b/>
          <w:bCs/>
          <w:sz w:val="22"/>
          <w:szCs w:val="22"/>
        </w:rPr>
        <w:t xml:space="preserve">Unit growth returning — management-driven. </w:t>
      </w:r>
      <w:r>
        <w:rPr>
          <w:sz w:val="22"/>
          <w:szCs w:val="22"/>
        </w:rPr>
        <w:t xml:space="preserve">Capital spend on new stores and clubs tripled from $450m in fiscal 2025 to $1,406m in fiscal 2026, the first meaningful store-growth commitment in a decade, and the unit count has risen from 10,616 in fiscal 2024 to 11,000 at the end of July 2026. Because the constraint in this industry is trade-area density, adding units is the only lever that changes the local competitive position rather than the national one.</w:t>
      </w:r>
    </w:p>
    <w:p>
      <w:pPr>
        <w:spacing w:after="140" w:line="276"/>
      </w:pPr>
      <w:r>
        <w:rPr>
          <w:sz w:val="22"/>
          <w:szCs w:val="22"/>
        </w:rPr>
        <w:t xml:space="preserve">Guidance frames what management expects the mix to do. For fiscal 2027 the company guides constant-currency net sales growth of 4.0% to 5.0% and adjusted operating income growth of 7.0% to 8.5% (Q2 FY2027 release, raised from 3.5%–4.5% and 6.0%–8.0% in February 2026). The entire investment proposition is contained in that gap: profit is expected to grow roughly twice as fast as sales, and the higher-margin businesses are what is supposed to produce it.</w:t>
      </w:r>
    </w:p>
    <w:p>
      <w:pPr>
        <w:pStyle w:val="Heading1"/>
        <w:pageBreakBefore/>
      </w:pPr>
      <w:r>
        <w:t xml:space="preserve">5.  Margin, Cash and Capital Allocation</w:t>
      </w:r>
    </w:p>
    <w:p>
      <w:pPr>
        <w:spacing w:after="140" w:line="276"/>
      </w:pPr>
      <w:r>
        <w:rPr>
          <w:sz w:val="22"/>
          <w:szCs w:val="22"/>
        </w:rPr>
        <w:t xml:space="preserve">Fiscal 2026 was a year in which the margin mechanics worked and the operating margin still fell. Gross margin rose 8 basis points to 24.2%, driven by "disciplined inventory management, as well as growth in higher margin businesses globally," partly offset by "mix shifts into lower margin merchandise categories across segments, as well as ongoing channel and format mix shifts in the Walmart International segment." The operating expense rate rose 20 basis points to 20.9%. Operating margin therefore fell 13 basis points to 4.2%, and operating income grew 1.6% against net sales growth of 4.7% (FY2026 10-K; growth inferred). The company's own stated objective — "growing operating income at a faster rate than net sales" — was not met.</w:t>
      </w:r>
    </w:p>
    <w:p>
      <w:pPr>
        <w:spacing w:after="140" w:line="276"/>
      </w:pPr>
      <w:r>
        <w:rPr>
          <w:sz w:val="22"/>
          <w:szCs w:val="22"/>
        </w:rPr>
        <w:t xml:space="preserve">The reason matters more than the result. Two of the three drivers of the expense increase are charges: approximately $0.9bn of higher self-insured general liability claims in the US, and a $0.7bn non-cash charge on modification of share-based compensation arrangements at PhonePe made "in contemplation of a potential initial public offering." Together those are about 23 basis points of net sales (inferred), more than the 20 basis points of deterioration, which means the underlying expense base leveraged slightly. The third driver is not a charge and does not lap: "increased depreciation related to our capital investments."</w:t>
      </w:r>
    </w:p>
    <w:p>
      <w:pPr>
        <w:spacing w:after="140" w:line="276"/>
      </w:pPr>
      <w:r>
        <w:rPr>
          <w:sz w:val="22"/>
          <w:szCs w:val="22"/>
        </w:rPr>
        <w:t xml:space="preserve">Seen over a decade, that depreciation line is the whole story of the margin. Operating margin was 5.04% in fiscal 2016 and is 4.22% today — 82 basis points lower on a revenue base 48% larger (inferred from filings). Gross margin over the same span is only 37 basis points lower. The gap is operating expense, which rose from 20.3% to 20.9% of net sales.</w:t>
      </w:r>
    </w:p>
    <w:p>
      <w:pPr>
        <w:spacing w:after="140" w:line="276"/>
      </w:pPr>
      <w:r>
        <w:rPr>
          <w:sz w:val="22"/>
          <w:szCs w:val="22"/>
        </w:rPr>
        <w:t xml:space="preserve">Walmart has defended its gross margin through a decade of price investment and eCommerce build-out. What it has not defended is the cost of the assets required to do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cantSplit/>
          <w:tblHeader/>
        </w:trPr>
        <w:tc>
          <w:tcPr>
            <w:tcW w:type="dxa" w:w="320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
            </w:r>
          </w:p>
        </w:tc>
        <w:tc>
          <w:tcPr>
            <w:tcW w:type="dxa" w:w="154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FY2017</w:t>
            </w:r>
          </w:p>
        </w:tc>
        <w:tc>
          <w:tcPr>
            <w:tcW w:type="dxa" w:w="154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FY2021</w:t>
            </w:r>
          </w:p>
        </w:tc>
        <w:tc>
          <w:tcPr>
            <w:tcW w:type="dxa" w:w="154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FY2024</w:t>
            </w:r>
          </w:p>
        </w:tc>
        <w:tc>
          <w:tcPr>
            <w:tcW w:type="dxa" w:w="154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right"/>
            </w:pPr>
            <w:r>
              <w:rPr>
                <w:b/>
                <w:bCs/>
                <w:color w:val="1F3864"/>
                <w:sz w:val="19"/>
                <w:szCs w:val="19"/>
              </w:rPr>
              <w:t xml:space="preserve">FY2026</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Total revenue ($bn)</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485.9</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559.2</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648.1</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713.2</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Gross margin (% of net sales)</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24.9</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24.3</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23.7</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24.2</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Operating margin (% of net sales)</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4.7</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4.1</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4.2</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4.2</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Capital expenditure (% of revenue)</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2.2</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1.8</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3.2</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3.7</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Free cash flow ($bn)</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21.1</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25.8</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15.1</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14.9</w:t>
            </w:r>
          </w:p>
        </w:tc>
      </w:tr>
      <w:tr>
        <w:trPr>
          <w:cantSplit/>
        </w:trP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b/>
                <w:bCs/>
                <w:sz w:val="19"/>
                <w:szCs w:val="19"/>
              </w:rPr>
              <w:t xml:space="preserve">eCommerce net sales ($bn)</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not disclosed</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64.9</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100.1</w:t>
            </w:r>
          </w:p>
        </w:tc>
        <w:tc>
          <w:tcPr>
            <w:tcW w:type="dxa" w:w="154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right"/>
            </w:pPr>
            <w:r>
              <w:rPr>
                <w:sz w:val="19"/>
                <w:szCs w:val="19"/>
              </w:rPr>
              <w:t xml:space="preserve">150.4</w:t>
            </w:r>
          </w:p>
        </w:tc>
      </w:tr>
    </w:tbl>
    <w:p>
      <w:pPr>
        <w:spacing w:after="200" w:before="60" w:line="240"/>
      </w:pPr>
      <w:r>
        <w:rPr>
          <w:i/>
          <w:iCs/>
          <w:color w:val="555555"/>
          <w:sz w:val="17"/>
          <w:szCs w:val="17"/>
        </w:rPr>
        <w:t xml:space="preserve">Sources: FY2018, FY2021, FY2024 and FY2026 10-Ks. Margins, capex ratios and eCommerce totals are inferred from filed dollar figures. Three comparability breaks apply. FY2017 figures come from the FY2018 10-K's comparative columns, because the FY2017 10-K incorporates its financial statements by reference to an exhibit outside the filing. FY2021 and FY2022 straddle the Asda, Seiyu and Argentina disposals, which removed roughly $20bn of International net sales with no restatement of prior years. eCommerce net sales are not disclosed in dollars before FY2020, and the definition was widened in FY2021 to include certain pharmacy transactions and again in FY2026 to include advertising arrangements, fulfilment services and data insights — so the series is not like-for-like and no filing quantifies the effect.</w:t>
      </w:r>
    </w:p>
    <w:p>
      <w:pPr>
        <w:spacing w:after="140" w:line="276"/>
      </w:pPr>
      <w:r>
        <w:rPr>
          <w:sz w:val="22"/>
          <w:szCs w:val="22"/>
        </w:rPr>
        <w:t xml:space="preserve">Cash conversion is where the capital programme becomes visible. Operating cash flow reached $41.6bn in fiscal 2026, a record, but capital expenditure of $26.6bn left free cash flow of $14.9bn — below the $18.3bn of fiscal 2018, in a year when net income was more than double the fiscal 2018 figure (FY2026 and FY2018 10-Ks). Capex has risen from 1.84% of revenue at its fiscal 2021 trough to 3.74%, and now runs at 1.88 times depreciation (inferred). Because depreciation trails the spending that creates it by $12.4bn a year, the margin headwind management already names in its expense explanation is not yet fully in the profit and loss account.</w:t>
      </w:r>
    </w:p>
    <w:p>
      <w:pPr>
        <w:spacing w:after="140" w:line="276"/>
      </w:pPr>
      <w:r>
        <w:rPr>
          <w:sz w:val="22"/>
          <w:szCs w:val="22"/>
        </w:rPr>
        <w:t xml:space="preserve">Fiscal 2027 capex is guided to $25–27bn. A further caution on the cash figure: the company states that provisions of the One Big Beautiful Bill Act "decreased cash taxes paid in fiscal 2026 and may change the timing of cash tax payments in future periods," so part of the operating cash flow improvement is timing rather than earnings.</w:t>
      </w:r>
    </w:p>
    <w:p>
      <w:pPr>
        <w:spacing w:after="140" w:line="276"/>
      </w:pPr>
      <w:r>
        <w:rPr>
          <w:sz w:val="22"/>
          <w:szCs w:val="22"/>
        </w:rPr>
        <w:t xml:space="preserve">What the money buys has changed decisively. The share of US capital expenditure going to supply chain, customer-facing initiatives and technology rose from 52.5% in fiscal 2017 to 70.2% in fiscal 2026, while new stores fell from 27.4% to 6.0% of the US total (FY2018 and FY2026 10-Ks; shares inferred) — though the dollar figure for new stores tripled last year. Management describes the priority as "allocating the majority of our capital to higher-return areas focused on automation." The return measure is moving against it for now: return on investment was 15.1% in fiscal 2026 against 15.5% in fiscal 2025, the decline "primarily due to an increase in average invested capital due to higher purchases of property and equipment."</w:t>
      </w:r>
    </w:p>
    <w:p>
      <w:pPr>
        <w:spacing w:after="140" w:line="276"/>
      </w:pPr>
      <w:r>
        <w:rPr>
          <w:sz w:val="22"/>
          <w:szCs w:val="22"/>
        </w:rPr>
        <w:t xml:space="preserve">Over the ten years to fiscal 2026 the ranking of uses of cash is unambiguous: capital expenditure $153.0bn, share repurchases $67.4bn, dividends $63.2bn, acquisitions net of cash acquired $20.8bn (inferred sums from filed cash-flow statements). Long-term debt issued over the period was $49.9bn against $52.2bn repaid — a net repayment. Effectively the entire decade of investment and shareholder return was funded from $305bn of cumulative operating cash flow plus roughly $8bn of divestiture proceeds.</w:t>
      </w:r>
    </w:p>
    <w:p>
      <w:pPr>
        <w:spacing w:after="140" w:line="276"/>
      </w:pPr>
      <w:r>
        <w:rPr>
          <w:sz w:val="22"/>
          <w:szCs w:val="22"/>
        </w:rPr>
        <w:t xml:space="preserve">Three behaviours follow from that. The balance sheet is not used as a growth lever. When the investment programme and shareholder returns compete, the buyback yields — fiscal 2024's $2.8bn was the decade low and coincided with peak capex growth and a $3.5bn purchase of PhonePe minority interests. And the dividend was treated as a near-fixed obligation for eight years, rising from $1.96 to $2.28 pre-split, a 1.9% compound rate, before a step change to roughly 9% annual growth from fiscal 2025.</w:t>
      </w:r>
    </w:p>
    <w:p>
      <w:pPr>
        <w:spacing w:after="140" w:line="276"/>
      </w:pPr>
      <w:r>
        <w:rPr>
          <w:sz w:val="22"/>
          <w:szCs w:val="22"/>
        </w:rPr>
        <w:t xml:space="preserve">Fiscal 2026 broke the last of those patterns in one respect worth noting: dividends of $7,507m plus repurchases of $8,088m totalled $15,595m against free cash flow of $14,923m, so shareholder returns exceeded free cash flow (FY2026 10-K; comparison inferred). A new $30.0bn repurchase authorisation was approved in February 2026, replacing a $20.0bn programme with $4.0bn remaining. The company states it "anticipates that a majority of the ongoing share repurchase program will be funded through the Company's free cash flow" — a formulation that, on fiscal 2026's arithmetic, is doing some work.</w:t>
      </w:r>
    </w:p>
    <w:p>
      <w:pPr>
        <w:spacing w:after="140" w:line="276"/>
      </w:pPr>
      <w:r>
        <w:rPr>
          <w:sz w:val="22"/>
          <w:szCs w:val="22"/>
        </w:rPr>
        <w:t xml:space="preserve">No transaction is pending. Business acquisitions were $53m in fiscal 2026 and neither the 10-K's subsequent-events note nor the most recent 10-Q discloses an agreed acquisition or divestiture. The only forward corporate-structure item is a possibility rather than an agreement: PhonePe's share-based payment arrangements were modified in contemplation of a potential initial public offering, and Walmart's ownership fell from approximately 84% to 73% on option exercises during fiscal 2026. No terms, size or timing are disclosed.</w:t>
      </w:r>
    </w:p>
    <w:p>
      <w:pPr>
        <w:spacing w:after="140" w:line="276"/>
      </w:pPr>
      <w:r>
        <w:rPr>
          <w:sz w:val="22"/>
          <w:szCs w:val="22"/>
        </w:rPr>
        <w:t xml:space="preserve">Two governance facts frame how these decisions get made. Doug McMillon retired as President and Chief Executive Officer effective 31 January 2026 and John Furner, previously chief executive of Walmart US, succeeded him on 1 February 2026 — so fiscal 2027 is the first full year under a new chief executive, and the incentive structure he inherits is unchanged: approximately 82% of the chief executive's fiscal 2026 target compensation was tied to sales, operating income and return on investment (2026 proxy). Second, Walton family entities beneficially owned 44.11% of shares outstanding as of 10 April 2026, with voting power exercised by majority vote of Walton Enterprises' managing members (2026 proxy). Capital allocation here answers to a controlling family with a multi-decade horizon, which is consistent with the debt-averse, investment-first pattern the cash flows show.</w:t>
      </w:r>
    </w:p>
    <w:p>
      <w:pPr>
        <w:pStyle w:val="Heading1"/>
        <w:pageBreakBefore/>
      </w:pPr>
      <w:r>
        <w:t xml:space="preserve">6.  Cyclicality, Constraints and What to Monitor</w:t>
      </w:r>
    </w:p>
    <w:p>
      <w:pPr>
        <w:spacing w:after="140" w:line="276"/>
      </w:pPr>
      <w:r>
        <w:rPr>
          <w:sz w:val="22"/>
          <w:szCs w:val="22"/>
        </w:rPr>
        <w:t xml:space="preserve">Walmart's end-market is about as non-cyclical as retail gets in units. Grocery is 59.1% of Walmart US net sales and 69.6% of Sam's Club's, and US food-at-home spending was $1.10tn of a $2.51tn total food bill in 2025 (USDA ERS). Households do not stop eating in a recession. What cycles is where the food is bought: food away from home is the majority of the food dollar, and downturns push spending back toward the grocery channel and, within it, toward value formats.</w:t>
      </w:r>
    </w:p>
    <w:p>
      <w:pPr>
        <w:spacing w:after="140" w:line="276"/>
      </w:pPr>
      <w:r>
        <w:rPr>
          <w:sz w:val="22"/>
          <w:szCs w:val="22"/>
        </w:rPr>
        <w:t xml:space="preserve">Against its own recent history the business is at an unusual point. Gross margin of 24.2% sits near the top of the fiscal 2021–2026 band of 23.5% to 24.4%. The operating expense rate of 20.9% is at the worst end of its band of 20.4% to 21.0%. Operating margin of 4.2% is mid-range, 40 basis points below the fiscal 2022 peak and 80 above the fiscal 2023 trough.</w:t>
      </w:r>
    </w:p>
    <w:p>
      <w:pPr>
        <w:spacing w:after="140" w:line="276"/>
      </w:pPr>
      <w:r>
        <w:rPr>
          <w:sz w:val="22"/>
          <w:szCs w:val="22"/>
        </w:rPr>
        <w:t xml:space="preserve">And the volume line has decelerated for six consecutive years: Walmart US comparable sales ran 8.7%, 6.4%, 7.0%, 5.5%, 4.8% and 4.3% from fiscal 2021 to fiscal 2026, and 2.6% ex-fuel in the most recent quarter — the lowest reading in the series. Near-peak gross margin, worst-in-band expense rate, decelerating volume: that is a company harvesting mix while the underlying traffic growth thins.</w:t>
      </w:r>
    </w:p>
    <w:p>
      <w:pPr>
        <w:spacing w:after="140" w:line="276"/>
      </w:pPr>
      <w:r>
        <w:rPr>
          <w:sz w:val="22"/>
          <w:szCs w:val="22"/>
        </w:rPr>
        <w:t xml:space="preserve">One item in the current numbers is unusually large and unusually temporary. In the quarter ended 31 July 2026 Walmart received approximately $2.9bn of tariff refunds through the US Customs and Border Protection process, recorded as a reduction of cost of sales and representing "substantially all of the refunds requested" (Q2 FY2027 10-Q). That is 156 basis points of quarterly net sales, against a reported gross-margin gain of 96 basis points — so underlying gross margin was down roughly 60 basis points once the refund is removed (inferred). Management states a significant portion was reinvested "primarily through price investment" with "continued prioritization of price investment expected through fiscal 2027." The quarter's headline figures — a 25.4% gross margin above any full year in the six-year range, and operating income up 28.8% — do not describe the ongoing business.</w:t>
      </w:r>
    </w:p>
    <w:p>
      <w:pPr>
        <w:spacing w:after="140" w:line="276"/>
      </w:pPr>
      <w:r>
        <w:rPr>
          <w:sz w:val="22"/>
          <w:szCs w:val="22"/>
        </w:rPr>
        <w:t xml:space="preserve">The downside case is best read from what actually happened last time. In the year to 31 January 2010 Walmart US comparable sales were −0.7%, having been +3.2% the year before, and management attributed the decline to deflation and lower fuel prices while noting that customer traffic increased (FY2010 annual report). The mechanism is specific and it would repeat: in a deflationary or trade-down downturn Walmart gains units and visits while ticket falls, so the comp goes negative even as share rises.</w:t>
      </w:r>
    </w:p>
    <w:p>
      <w:pPr>
        <w:spacing w:after="140" w:line="276"/>
      </w:pPr>
      <w:r>
        <w:rPr>
          <w:sz w:val="22"/>
          <w:szCs w:val="22"/>
        </w:rPr>
        <w:t xml:space="preserve">The difference today is the cost base absorbing it. In fiscal 2010 capital expenditure was around 2% of revenue; today it is 3.7% and depreciation is still $12.4bn behind it. The same traffic win would land on a materially heavier fixed-cost structure.</w:t>
      </w:r>
    </w:p>
    <w:p>
      <w:pPr>
        <w:spacing w:after="140" w:line="276"/>
      </w:pPr>
      <w:r>
        <w:rPr>
          <w:sz w:val="22"/>
          <w:szCs w:val="22"/>
        </w:rPr>
        <w:t xml:space="preserve">Two structural constraints bound the margin. The first is trade policy. Less than one third of what Walmart sells in the US is imported, sourced principally from China, Vietnam, Mexico, India and Canada (Q2 FY2027 10-Q). On a 4.2% operating margin there is little absorptive capacity, and the legal regime is unstable in both directions: the Supreme Court held on 20 February 2026 that the International Emergency Economic Powers Act does not authorise tariffs, nine executive orders imposing duties were rescinded, and the replacement 10% surcharge under Section 122 of the Trade Act carried a 150-day statutory cap expiring 24 July 2026. Section 232 duties remain in force, including 25% on upholstered furniture and cabinets. Walmart's $2.9bn refund is the mechanism running in reverse, and it sizes what is at stake.</w:t>
      </w:r>
    </w:p>
    <w:p>
      <w:pPr>
        <w:spacing w:after="140" w:line="276"/>
      </w:pPr>
      <w:r>
        <w:rPr>
          <w:sz w:val="22"/>
          <w:szCs w:val="22"/>
        </w:rPr>
        <w:t xml:space="preserve">The second constraint is labour. Retail trade average hourly earnings were $26.38 in August 2026, up 3.1% year on year (BLS), running slightly ahead of food-at-home inflation of 2.7% (BLS, July 2026) — manageable now, but retail wages are about 70% of the all-private average, so the sector carries asymmetric exposure to statutory minimums.</w:t>
      </w:r>
    </w:p>
    <w:p>
      <w:pPr>
        <w:spacing w:after="120"/>
      </w:pPr>
    </w:p>
    <w:p>
      <w:pPr>
        <w:pStyle w:val="Heading2"/>
      </w:pPr>
      <w:r>
        <w:t xml:space="preserve">Durable versus borrowed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What should still be there in ten years</w:t>
            </w:r>
          </w:p>
        </w:tc>
        <w:tc>
          <w:tcPr>
            <w:tcW w:type="dxa" w:w="468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What is helping right now</w:t>
            </w:r>
          </w:p>
        </w:tc>
      </w:tr>
      <w:tr>
        <w:trPr>
          <w:cantSplit/>
        </w:trP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4,611 US stores and 601 clubs matched to 192 US distribution facilities — a lattice assembled over six decades</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$2.9bn of tariff refunds in the most recent quarter, worth 156bps of quarterly sales</w:t>
            </w:r>
          </w:p>
        </w:tc>
      </w:tr>
      <w:tr>
        <w:trPr>
          <w:cantSplit/>
        </w:trP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Supplier-funded working capital: payables of $63.1bn against inventory of $58.9bn, a roughly three-day cash cycle</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Currency, which flipped from −$2.8bn on fiscal 2026 net sales to +$3.9bn in the first half of fiscal 2027</w:t>
            </w:r>
          </w:p>
        </w:tc>
      </w:tr>
      <w:tr>
        <w:trPr>
          <w:cantSplit/>
        </w:trP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Membership fee revenue of $4.4bn, contractual and recognised ratably, with Sam's fees raised in May 2026</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 quarterly effective tax rate of 18.5% and net interest of $171m, both on changes in unrecognised tax benefits</w:t>
            </w:r>
          </w:p>
        </w:tc>
      </w:tr>
      <w:tr>
        <w:trPr>
          <w:cantSplit/>
        </w:trP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 general-merchandise mix that permits grocery to be sold thin — the structural advantage Kroger lacks</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Health and wellness growth, which added 200bps of mix in two years and has now turned negative on price regulation</w:t>
            </w:r>
          </w:p>
        </w:tc>
      </w:tr>
      <w:tr>
        <w:trPr>
          <w:cantSplit/>
        </w:trPr>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 balance sheet funded from operating cash flow, with long-term debt net repaid across the decade</w:t>
            </w:r>
          </w:p>
        </w:tc>
        <w:tc>
          <w:tcPr>
            <w:tcW w:type="dxa" w:w="468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 depreciation charge still $12.4bn a year below the capital spending that creates it</w:t>
            </w:r>
          </w:p>
        </w:tc>
      </w:tr>
    </w:tbl>
    <w:p>
      <w:r>
        <w:br w:type="page"/>
      </w:r>
    </w:p>
    <w:p>
      <w:pPr>
        <w:pStyle w:val="Heading2"/>
      </w:pPr>
      <w:r>
        <w:t xml:space="preserve">Leading indicators, and where they are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Indicator</w:t>
            </w:r>
          </w:p>
        </w:tc>
        <w:tc>
          <w:tcPr>
            <w:tcW w:type="dxa" w:w="3960"/>
            <w:tcBorders>
              <w:top w:val="single" w:color="BFBFBF" w:sz="2"/>
              <w:left w:val="single" w:color="BFBFBF" w:sz="2"/>
              <w:bottom w:val="single" w:color="BFBFBF" w:sz="2"/>
              <w:right w:val="single" w:color="BFBFBF" w:sz="2"/>
            </w:tcBorders>
            <w:shd w:fill="E8ECF4" w:color="auto" w:val="clear"/>
            <w:tcMar>
              <w:top w:type="dxa" w:w="80"/>
              <w:left w:type="dxa" w:w="120"/>
              <w:bottom w:type="dxa" w:w="80"/>
              <w:right w:type="dxa" w:w="120"/>
            </w:tcMar>
          </w:tcPr>
          <w:p>
            <w:pPr>
              <w:spacing w:after="0" w:before="0" w:line="250"/>
              <w:jc w:val="left"/>
            </w:pPr>
            <w:r>
              <w:rPr>
                <w:b/>
                <w:bCs/>
                <w:color w:val="1F3864"/>
                <w:sz w:val="19"/>
                <w:szCs w:val="19"/>
              </w:rPr>
              <w:t xml:space="preserve">Source</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eCommerce contribution to comparable sales, against the total comp, by segment</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Walmart 10-K and 10-Q, Company Performance Metrics</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Operating income growth against net sales growth — the company's own stated test</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Walmart quarterly earnings release</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Advertising and membership fee growth (not disclosed in the 10-K)</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Walmart quarterly earnings release and financial presentation</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Capital expenditure, and capex against depreciation and amortisation</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Walmart 10-K cash-flow statement and capital allocation table</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Food-at-home consumer price index</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US Bureau of Labor Statistics, monthly</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Grocery store and warehouse-club channel sales</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US Census Bureau, Monthly Retail Trade Survey</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Food-at-home sales by outlet format</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USDA Economic Research Service, Retail Trends, annual</w:t>
            </w:r>
          </w:p>
        </w:tc>
      </w:tr>
      <w:tr>
        <w:trPr>
          <w:cantSplit/>
        </w:trPr>
        <w:tc>
          <w:tcPr>
            <w:tcW w:type="dxa" w:w="5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US commerce media advertising revenue</w:t>
            </w:r>
          </w:p>
        </w:tc>
        <w:tc>
          <w:tcPr>
            <w:tcW w:type="dxa" w:w="396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0" w:before="0" w:line="250"/>
              <w:jc w:val="left"/>
            </w:pPr>
            <w:r>
              <w:rPr>
                <w:sz w:val="19"/>
                <w:szCs w:val="19"/>
              </w:rPr>
              <w:t xml:space="preserve">IAB/PwC Internet Advertising Revenue Report, annual</w:t>
            </w:r>
          </w:p>
        </w:tc>
      </w:tr>
    </w:tbl>
    <w:p>
      <w:pPr>
        <w:pStyle w:val="Heading1"/>
        <w:pageBreakBefore/>
      </w:pPr>
      <w:r>
        <w:t xml:space="preserve">7.  Risks, Unknowns and Questions for Deeper Work</w:t>
      </w:r>
    </w:p>
    <w:p>
      <w:pPr>
        <w:spacing w:after="140" w:line="276"/>
      </w:pPr>
      <w:r>
        <w:rPr>
          <w:sz w:val="22"/>
          <w:szCs w:val="22"/>
        </w:rPr>
        <w:t xml:space="preserve">Cyclicality is covered in Section 6. What follows is what cyclicality does not capture, ordered by how much each compounds with the others.</w:t>
      </w:r>
    </w:p>
    <w:p>
      <w:pPr>
        <w:pStyle w:val="ListParagraph"/>
        <w:numPr>
          <w:ilvl w:val="0"/>
          <w:numId w:val="2"/>
        </w:numPr>
        <w:spacing w:after="100" w:line="276"/>
      </w:pPr>
      <w:r>
        <w:rPr>
          <w:b/>
          <w:bCs/>
          <w:sz w:val="22"/>
          <w:szCs w:val="22"/>
        </w:rPr>
        <w:t xml:space="preserve">Agentic commerce attacks the highest-margin revenue first. </w:t>
      </w:r>
      <w:r>
        <w:rPr>
          <w:sz w:val="22"/>
          <w:szCs w:val="22"/>
        </w:rPr>
        <w:t xml:space="preserve">The fiscal 2026 10-K names "emerging agentic platforms" and warns that greater concentration of eCommerce sales "could result in a reduction in the amount of traffic in our stores and clubs, which would, in turn, reduce the opportunities for cross-store or cross-club sales." The mechanism is sharper than the merchandise risk it describes. Retail media monetises attention at the moment of choice. If an AI agent makes the choice on a price and specification basis, sponsored placement has no one left to persuade — so the advertising business, which is growing at 46% and carrying the margin story, is impaired before a single merchandise sale is lost.</w:t>
      </w:r>
    </w:p>
    <w:p>
      <w:pPr>
        <w:pStyle w:val="ListParagraph"/>
        <w:numPr>
          <w:ilvl w:val="0"/>
          <w:numId w:val="2"/>
        </w:numPr>
        <w:spacing w:after="100" w:line="276"/>
      </w:pPr>
      <w:r>
        <w:rPr>
          <w:b/>
          <w:bCs/>
          <w:sz w:val="22"/>
          <w:szCs w:val="22"/>
        </w:rPr>
        <w:t xml:space="preserve">Drug-price regulation has already turned the mix-carrying category negative. </w:t>
      </w:r>
      <w:r>
        <w:rPr>
          <w:sz w:val="22"/>
          <w:szCs w:val="22"/>
        </w:rPr>
        <w:t xml:space="preserve">Health and wellness added roughly 200 basis points of Walmart US mix in two years and grew 12.0% in fiscal 2026; it fell 1.8% year on year in the most recent quarter on maximum fair price regulation effective January 2026. A further reimbursement or formulary change compounds twice: it removes the pharmacy margin and it removes the store trip that a prescription pickup generates, which is the trip the rest of the basket depends on.</w:t>
      </w:r>
    </w:p>
    <w:p>
      <w:pPr>
        <w:pStyle w:val="ListParagraph"/>
        <w:numPr>
          <w:ilvl w:val="0"/>
          <w:numId w:val="2"/>
        </w:numPr>
        <w:spacing w:after="100" w:line="276"/>
      </w:pPr>
      <w:r>
        <w:rPr>
          <w:b/>
          <w:bCs/>
          <w:sz w:val="22"/>
          <w:szCs w:val="22"/>
        </w:rPr>
        <w:t xml:space="preserve">The opioid tail is unaccrued and scheduled. </w:t>
      </w:r>
      <w:r>
        <w:rPr>
          <w:sz w:val="22"/>
          <w:szCs w:val="22"/>
        </w:rPr>
        <w:t xml:space="preserve">Approximately $3.3bn was accrued in fiscal 2023 and fully paid by 31 January 2025, but for the remaining matters "the Company has not accrued a liability for these opioid-related matters nor can the Company reasonably estimate any loss or range of loss." Approximately 230 multidistrict-litigation cases were pending as of 6 March 2026; the Florida Health Sciences Center trial ended in a mistrial on 8 December 2025 with retrial scheduled to begin 27 August 2026, and a Department of Justice Controlled Substances Act trial is set for November 2027. An adverse judgment reaches operating expenses and cash with no reserve behind it.</w:t>
      </w:r>
    </w:p>
    <w:p>
      <w:pPr>
        <w:pStyle w:val="ListParagraph"/>
        <w:numPr>
          <w:ilvl w:val="0"/>
          <w:numId w:val="2"/>
        </w:numPr>
        <w:spacing w:after="100" w:line="276"/>
      </w:pPr>
      <w:r>
        <w:rPr>
          <w:b/>
          <w:bCs/>
          <w:sz w:val="22"/>
          <w:szCs w:val="22"/>
        </w:rPr>
        <w:t xml:space="preserve">Worker classification sits directly underneath the growth engine. </w:t>
      </w:r>
      <w:r>
        <w:rPr>
          <w:sz w:val="22"/>
          <w:szCs w:val="22"/>
        </w:rPr>
        <w:t xml:space="preserve">Store-fulfilled delivery is what produces the eCommerce comp, and its cost base rests on Spark drivers being independent contractors. Walmart accrued roughly $37m of a $100m FTC and state judgment carrying ten years of programmatic and reporting obligations, and continues to face driver-classification investigations and representative litigation. Reclassification would move a variable delivery cost onto payroll in precisely the channel that now supplies all of the comparable-sales growth.</w:t>
      </w:r>
    </w:p>
    <w:p>
      <w:pPr>
        <w:pStyle w:val="ListParagraph"/>
        <w:numPr>
          <w:ilvl w:val="0"/>
          <w:numId w:val="2"/>
        </w:numPr>
        <w:spacing w:after="100" w:line="276"/>
      </w:pPr>
      <w:r>
        <w:rPr>
          <w:b/>
          <w:bCs/>
          <w:sz w:val="22"/>
          <w:szCs w:val="22"/>
        </w:rPr>
        <w:t xml:space="preserve">Depreciation is a scheduled, non-lapping margin headwind. </w:t>
      </w:r>
      <w:r>
        <w:rPr>
          <w:sz w:val="22"/>
          <w:szCs w:val="22"/>
        </w:rPr>
        <w:t xml:space="preserve">Capital expenditure of $26.6bn runs $12.4bn above depreciation and amortisation of $14.2bn (inferred). Depreciation is already named in the fiscal 2025 and fiscal 2026 expense explanations. Unlike the self-insurance and PhonePe charges, it does not lap — it accumulates, and it accumulates while the comparable-sales line decelerates.</w:t>
      </w:r>
    </w:p>
    <w:p>
      <w:pPr>
        <w:pStyle w:val="ListParagraph"/>
        <w:numPr>
          <w:ilvl w:val="0"/>
          <w:numId w:val="2"/>
        </w:numPr>
        <w:spacing w:after="100" w:line="276"/>
      </w:pPr>
      <w:r>
        <w:rPr>
          <w:b/>
          <w:bCs/>
          <w:sz w:val="22"/>
          <w:szCs w:val="22"/>
        </w:rPr>
        <w:t xml:space="preserve">India carries an ownership remedy, not a fine. </w:t>
      </w:r>
      <w:r>
        <w:rPr>
          <w:sz w:val="22"/>
          <w:szCs w:val="22"/>
        </w:rPr>
        <w:t xml:space="preserve">Foreign direct investment show-cause notices to Flipkart give the regulator authority to impose "monetary and/or non-monetary relief, such as share ownership restrictions," with the outcome unpredictable and the loss not estimable, and a Competition Commission of India Director General report alleges violations by Flipkart subsidiaries. The exposure is to the structure of an asset Walmart paid roughly $16bn for, not to a penalty.</w:t>
      </w:r>
    </w:p>
    <w:p>
      <w:pPr>
        <w:pStyle w:val="ListParagraph"/>
        <w:numPr>
          <w:ilvl w:val="0"/>
          <w:numId w:val="2"/>
        </w:numPr>
        <w:spacing w:after="100" w:line="276"/>
      </w:pPr>
      <w:r>
        <w:rPr>
          <w:b/>
          <w:bCs/>
          <w:sz w:val="22"/>
          <w:szCs w:val="22"/>
        </w:rPr>
        <w:t xml:space="preserve">Control is concentrated. </w:t>
      </w:r>
      <w:r>
        <w:rPr>
          <w:sz w:val="22"/>
          <w:szCs w:val="22"/>
        </w:rPr>
        <w:t xml:space="preserve">Walton family entities held 44.11% of shares outstanding at 10 April 2026, with voting power exercised by majority vote of Walton Enterprises' managing members. Minority holders do not decide contested outcomes. This has been consistent with a long-horizon, low-leverage capital policy; it also means that policy is not contestable.</w:t>
      </w:r>
    </w:p>
    <w:p>
      <w:pPr>
        <w:spacing w:after="120"/>
      </w:pPr>
    </w:p>
    <w:p>
      <w:pPr>
        <w:pStyle w:val="Heading2"/>
      </w:pPr>
      <w:r>
        <w:t xml:space="preserve">What the sources could not answer</w:t>
      </w:r>
    </w:p>
    <w:p>
      <w:pPr>
        <w:pStyle w:val="ListParagraph"/>
        <w:numPr>
          <w:ilvl w:val="0"/>
          <w:numId w:val="2"/>
        </w:numPr>
        <w:spacing w:after="100" w:line="276"/>
      </w:pPr>
      <w:r>
        <w:rPr>
          <w:sz w:val="22"/>
          <w:szCs w:val="22"/>
        </w:rPr>
        <w:t xml:space="preserve">Advertising revenue appears in no 10-K, in any year. The $6.4bn fiscal 2026 figure and its 46% growth come from the earnings release; the annual report quantifies only advertising costs ($5.4bn), which is the opposite item. Marketplace, fulfilment services and data-insights revenue are never given in dollars anywhere.</w:t>
      </w:r>
    </w:p>
    <w:p>
      <w:pPr>
        <w:pStyle w:val="ListParagraph"/>
        <w:numPr>
          <w:ilvl w:val="0"/>
          <w:numId w:val="2"/>
        </w:numPr>
        <w:spacing w:after="100" w:line="276"/>
      </w:pPr>
      <w:r>
        <w:rPr>
          <w:sz w:val="22"/>
          <w:szCs w:val="22"/>
        </w:rPr>
        <w:t xml:space="preserve">Member counts for Walmart+ and Sam's Club are not disclosed in any filing, nor is deferred membership revenue separately quantified — so the membership annuity cannot be sized or compared with Costco's 81.0m paid members.</w:t>
      </w:r>
    </w:p>
    <w:p>
      <w:pPr>
        <w:pStyle w:val="ListParagraph"/>
        <w:numPr>
          <w:ilvl w:val="0"/>
          <w:numId w:val="2"/>
        </w:numPr>
        <w:spacing w:after="100" w:line="276"/>
      </w:pPr>
      <w:r>
        <w:rPr>
          <w:sz w:val="22"/>
          <w:szCs w:val="22"/>
        </w:rPr>
        <w:t xml:space="preserve">eCommerce profitability is never stated at segment level. The nearest disclosures are qualitative — "improved eCommerce margin" in International, "higher eCommerce fulfillment costs" at Sam's Club — alongside a risk factor conceding "operating losses incurred for those initiatives."</w:t>
      </w:r>
    </w:p>
    <w:p>
      <w:pPr>
        <w:pStyle w:val="ListParagraph"/>
        <w:numPr>
          <w:ilvl w:val="0"/>
          <w:numId w:val="2"/>
        </w:numPr>
        <w:spacing w:after="100" w:line="276"/>
      </w:pPr>
      <w:r>
        <w:rPr>
          <w:sz w:val="22"/>
          <w:szCs w:val="22"/>
        </w:rPr>
        <w:t xml:space="preserve">No operating sensitivity is disclosed. There is no "each 1% of comparable sales is worth $X of operating income." The only quantified sensitivities in the 10-K are for interest rates, currency swaps and equity investment marks.</w:t>
      </w:r>
    </w:p>
    <w:p>
      <w:pPr>
        <w:pStyle w:val="ListParagraph"/>
        <w:numPr>
          <w:ilvl w:val="0"/>
          <w:numId w:val="2"/>
        </w:numPr>
        <w:spacing w:after="100" w:line="276"/>
      </w:pPr>
      <w:r>
        <w:rPr>
          <w:sz w:val="22"/>
          <w:szCs w:val="22"/>
        </w:rPr>
        <w:t xml:space="preserve">The fiscal 2023 and fiscal 2026 redefinitions that fold advertising, fulfilment services and data insights into eCommerce net sales and into the comparable-sales definition are unquantified. Part of the reported acceleration to 24.4% eCommerce growth is definitional, and no filing says how much.</w:t>
      </w:r>
    </w:p>
    <w:p>
      <w:pPr>
        <w:pStyle w:val="ListParagraph"/>
        <w:numPr>
          <w:ilvl w:val="0"/>
          <w:numId w:val="2"/>
        </w:numPr>
        <w:spacing w:after="100" w:line="276"/>
      </w:pPr>
      <w:r>
        <w:rPr>
          <w:sz w:val="22"/>
          <w:szCs w:val="22"/>
        </w:rPr>
        <w:t xml:space="preserve">LIFO charges or credits are not quantified in fiscal 2026 or the most recent quarter, although they were named as a gross-margin driver in fiscal 2023.</w:t>
      </w:r>
    </w:p>
    <w:p>
      <w:pPr>
        <w:pStyle w:val="ListParagraph"/>
        <w:numPr>
          <w:ilvl w:val="0"/>
          <w:numId w:val="2"/>
        </w:numPr>
        <w:spacing w:after="100" w:line="276"/>
      </w:pPr>
      <w:r>
        <w:rPr>
          <w:sz w:val="22"/>
          <w:szCs w:val="22"/>
        </w:rPr>
        <w:t xml:space="preserve">Company-level US grocery market shares have no independent government source. USDA ERS publishes concentration ratios but not per-company shares; every published Walmart share figure is a commercial vendor estimate.</w:t>
      </w:r>
    </w:p>
    <w:p>
      <w:pPr>
        <w:spacing w:after="120"/>
      </w:pPr>
    </w:p>
    <w:p>
      <w:pPr>
        <w:pStyle w:val="Heading2"/>
      </w:pPr>
      <w:r>
        <w:t xml:space="preserve">Questions to resolve before forming a thesis</w:t>
      </w:r>
    </w:p>
    <w:p>
      <w:pPr>
        <w:pStyle w:val="ListParagraph"/>
        <w:numPr>
          <w:ilvl w:val="0"/>
          <w:numId w:val="2"/>
        </w:numPr>
        <w:spacing w:after="100" w:line="276"/>
      </w:pPr>
      <w:r>
        <w:rPr>
          <w:sz w:val="22"/>
          <w:szCs w:val="22"/>
        </w:rPr>
        <w:t xml:space="preserve">What is the store-initiated comparable sales figure, separated from digitally initiated orders, and for how long can total comp hold with that residual at or below zero?</w:t>
      </w:r>
    </w:p>
    <w:p>
      <w:pPr>
        <w:pStyle w:val="ListParagraph"/>
        <w:numPr>
          <w:ilvl w:val="0"/>
          <w:numId w:val="2"/>
        </w:numPr>
        <w:spacing w:after="100" w:line="276"/>
      </w:pPr>
      <w:r>
        <w:rPr>
          <w:sz w:val="22"/>
          <w:szCs w:val="22"/>
        </w:rPr>
        <w:t xml:space="preserve">What operating margin does the advertising business actually carry, and at what revenue scale does it move the consolidated 4.2% rate by a full point?</w:t>
      </w:r>
    </w:p>
    <w:p>
      <w:pPr>
        <w:pStyle w:val="ListParagraph"/>
        <w:numPr>
          <w:ilvl w:val="0"/>
          <w:numId w:val="2"/>
        </w:numPr>
        <w:spacing w:after="100" w:line="276"/>
      </w:pPr>
      <w:r>
        <w:rPr>
          <w:sz w:val="22"/>
          <w:szCs w:val="22"/>
        </w:rPr>
        <w:t xml:space="preserve">What is steady-state capital expenditure? Does free cash flow re-expand once the automation programme completes, or is roughly 3.7% of revenue the new normal for a store base that must now also be a fulfilment network?</w:t>
      </w:r>
    </w:p>
    <w:p>
      <w:pPr>
        <w:pStyle w:val="ListParagraph"/>
        <w:numPr>
          <w:ilvl w:val="0"/>
          <w:numId w:val="2"/>
        </w:numPr>
        <w:spacing w:after="100" w:line="276"/>
      </w:pPr>
      <w:r>
        <w:rPr>
          <w:sz w:val="22"/>
          <w:szCs w:val="22"/>
        </w:rPr>
        <w:t xml:space="preserve">Was the $2.9bn tariff refund a one-time recovery, or the first of a series — and how much of it is permanently embedded in price rather than margin?</w:t>
      </w:r>
    </w:p>
    <w:p>
      <w:pPr>
        <w:pStyle w:val="Heading1"/>
        <w:pageBreakBefore/>
      </w:pPr>
      <w:r>
        <w:t xml:space="preserve">8.  Investor Takeaways</w:t>
      </w:r>
    </w:p>
    <w:p>
      <w:pPr>
        <w:pStyle w:val="ListParagraph"/>
        <w:numPr>
          <w:ilvl w:val="0"/>
          <w:numId w:val="2"/>
        </w:numPr>
        <w:spacing w:after="100" w:line="276"/>
      </w:pPr>
      <w:r>
        <w:rPr>
          <w:b/>
          <w:bCs/>
          <w:sz w:val="22"/>
          <w:szCs w:val="22"/>
        </w:rPr>
        <w:t xml:space="preserve">What this business really is: </w:t>
      </w:r>
      <w:r>
        <w:rPr>
          <w:sz w:val="22"/>
          <w:szCs w:val="22"/>
        </w:rPr>
        <w:t xml:space="preserve">a fixed-cost density business that converts local scale into a unit-cost advantage and then gives most of that advantage back to the customer as price in order to defend the traffic. The merchandise operation earns 4.2%. The durable question is what else can be attached to the traffic.</w:t>
      </w:r>
    </w:p>
    <w:p>
      <w:pPr>
        <w:pStyle w:val="ListParagraph"/>
        <w:numPr>
          <w:ilvl w:val="0"/>
          <w:numId w:val="2"/>
        </w:numPr>
        <w:spacing w:after="100" w:line="276"/>
      </w:pPr>
      <w:r>
        <w:rPr>
          <w:b/>
          <w:bCs/>
          <w:sz w:val="22"/>
          <w:szCs w:val="22"/>
        </w:rPr>
        <w:t xml:space="preserve">The core economic engine: </w:t>
      </w:r>
      <w:r>
        <w:rPr>
          <w:sz w:val="22"/>
          <w:szCs w:val="22"/>
        </w:rPr>
        <w:t xml:space="preserve">the store — $104.7m of sales and $691 per square foot in the US, financed by suppliers on a three-day cash cycle — now doing double duty as the fulfilment node for a $150bn eCommerce business built on assets already paid for.</w:t>
      </w:r>
    </w:p>
    <w:p>
      <w:pPr>
        <w:pStyle w:val="ListParagraph"/>
        <w:numPr>
          <w:ilvl w:val="0"/>
          <w:numId w:val="2"/>
        </w:numPr>
        <w:spacing w:after="100" w:line="276"/>
      </w:pPr>
      <w:r>
        <w:rPr>
          <w:b/>
          <w:bCs/>
          <w:sz w:val="22"/>
          <w:szCs w:val="22"/>
        </w:rPr>
        <w:t xml:space="preserve">The main growth lever: </w:t>
      </w:r>
      <w:r>
        <w:rPr>
          <w:sz w:val="22"/>
          <w:szCs w:val="22"/>
        </w:rPr>
        <w:t xml:space="preserve">mix, not volume. Advertising up 46%, membership fees up 15.1%, marketplace up 52%, each growing several times faster than the 4.7% top line. Advertising is still 0.9% of revenue, so the shift is directionally right and quantitatively small so far.</w:t>
      </w:r>
    </w:p>
    <w:p>
      <w:pPr>
        <w:pStyle w:val="ListParagraph"/>
        <w:numPr>
          <w:ilvl w:val="0"/>
          <w:numId w:val="2"/>
        </w:numPr>
        <w:spacing w:after="100" w:line="276"/>
      </w:pPr>
      <w:r>
        <w:rPr>
          <w:b/>
          <w:bCs/>
          <w:sz w:val="22"/>
          <w:szCs w:val="22"/>
        </w:rPr>
        <w:t xml:space="preserve">What could break the story: </w:t>
      </w:r>
      <w:r>
        <w:rPr>
          <w:sz w:val="22"/>
          <w:szCs w:val="22"/>
        </w:rPr>
        <w:t xml:space="preserve">the store-initiated comp is already at or below zero, capital intensity has doubled as a share of revenue while depreciation still trails it by $12.4bn a year, and the highest-margin growth stream depends on shoppers continuing to make the choice themselves.</w:t>
      </w:r>
    </w:p>
    <w:p>
      <w:pPr>
        <w:pStyle w:val="ListParagraph"/>
        <w:numPr>
          <w:ilvl w:val="0"/>
          <w:numId w:val="2"/>
        </w:numPr>
        <w:spacing w:after="100" w:line="276"/>
      </w:pPr>
      <w:r>
        <w:rPr>
          <w:b/>
          <w:bCs/>
          <w:sz w:val="22"/>
          <w:szCs w:val="22"/>
        </w:rPr>
        <w:t xml:space="preserve">What to monitor: </w:t>
      </w:r>
      <w:r>
        <w:rPr>
          <w:sz w:val="22"/>
          <w:szCs w:val="22"/>
        </w:rPr>
        <w:t xml:space="preserve">the eCommerce contribution to comp against the total comp, operating income growth against net sales growth, capital expenditure as a percentage of revenue, and health-and-wellness sales under maximum fair price regulation.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Business Overview: Walmart Inc.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Walmart Inc.</dc:title>
  <dc:creator>Equity Research</dc:creator>
  <cp:lastModifiedBy>Un-named</cp:lastModifiedBy>
  <cp:revision>1</cp:revision>
  <dcterms:created xsi:type="dcterms:W3CDTF">2026-09-07T15:22:45.392Z</dcterms:created>
  <dcterms:modified xsi:type="dcterms:W3CDTF">2026-09-07T15:22:45.393Z</dcterms:modified>
</cp:coreProperties>
</file>

<file path=docProps/custom.xml><?xml version="1.0" encoding="utf-8"?>
<Properties xmlns="http://schemas.openxmlformats.org/officeDocument/2006/custom-properties" xmlns:vt="http://schemas.openxmlformats.org/officeDocument/2006/docPropsVTypes"/>
</file>