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company: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Apple Inc. (Nasdaq: AAPL)</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sources used:</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FY2025 10-K (with FY2023–FY2024 comparatives); Q3 FY2026 10-Q; Q1–Q3 FY2026 earnings-call transcripts; Sep 9, 2025 and Sep 9, 2026 product-launch transcripts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latest period:</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Q3 FY2026 (quarter ended June 27, 2026); Q4 FY2026 guidance from the July 30, 2026 call; iPhone 18 launch on September 9, 2026</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missing or stale data:</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 unit volumes, ASPs, upgrade rates or product-level operating margin. Google search-licensing revenue, Google AI-collaboration terms and the tariff refund in dollars are not disclosed. Transcripts are third-party (Quartr via stockanalysis.com). FY2026 10-K not yet filed. Section 5 (external challenge) not run.</w:t>
            </w:r>
          </w:p>
        </w:tc>
      </w:tr>
    </w:tbl>
    <w:p>
      <w:pPr>
        <w:pStyle w:val="Title"/>
        <w:spacing w:after="200" w:before="240"/>
      </w:pPr>
      <w:r>
        <w:t xml:space="preserve">Apple Inc. — Bull &amp; Bear Memo</w:t>
      </w:r>
    </w:p>
    <w:p>
      <w:pPr>
        <w:pStyle w:val="Heading1"/>
      </w:pPr>
      <w:r>
        <w:t xml:space="preserve">1. Business in one line</w:t>
      </w:r>
    </w:p>
    <w:p>
      <w:pPr>
        <w:spacing w:after="120"/>
      </w:pPr>
      <w:r>
        <w:t xml:space="preserve">Apple sells premium hardware — iPhone was $209.6bn of $416.2bn FY2025 revenue — and then collects a second, recurring stream from the 2.5bn+ active devices it has sold: App Store commissions, Google's payments for default search, iCloud, AppleCare, payments and ads. The hardware sale acquires the customer; Services (26% of FY2025 revenue at a 75.4% gross margin versus 36.8% for Products) earns 42% of gross profit [FY2025 10-K].</w:t>
      </w:r>
    </w:p>
    <w:p>
      <w:pPr>
        <w:spacing w:after="120"/>
      </w:pPr>
      <w:r>
        <w:rPr>
          <w:b/>
          <w:bCs/>
        </w:rPr>
        <w:t xml:space="preserve">Type: Stalwart. </w:t>
      </w:r>
      <w:r>
        <w:t xml:space="preserve">Large, cash-rich, compounding per-share value through Services mix and a shrinking share count — with a cyclical iPhone engine inside it now running at a peak. The question is not "can it grow" but "how much of FY2026 is repeatable."</w:t>
      </w:r>
    </w:p>
    <w:p>
      <w:pPr>
        <w:pStyle w:val="Heading1"/>
      </w:pPr>
      <w:r>
        <w:t xml:space="preserve">2. Bull case — Peter Lynch pitch</w:t>
      </w:r>
    </w:p>
    <w:p>
      <w:pPr>
        <w:spacing w:after="120"/>
      </w:pPr>
      <w:r>
        <w:t xml:space="preserve">The simple reason this stock could work is that Apple owns the most valuable toll road in consumer technology — 2.5bn+ active devices whose owners pay again every year — and FY2026 shows it can still ignite an iPhone cycle and pass rising costs through in price, while ~$137bn of annual free cash flow shrinks the share count underneath.</w:t>
      </w:r>
    </w:p>
    <w:p>
      <w:pPr>
        <w:pStyle w:val="Heading2"/>
      </w:pPr>
      <w:r>
        <w:t xml:space="preserve">A1 — Services keeps compounding at ~10%+ with a mid-70s gross margin</w:t>
      </w:r>
    </w:p>
    <w:p>
      <w:pPr>
        <w:pStyle w:val="ListParagraph"/>
        <w:numPr>
          <w:ilvl w:val="0"/>
          <w:numId w:val="2"/>
        </w:numPr>
        <w:spacing w:after="60"/>
      </w:pPr>
      <w:r>
        <w:rPr>
          <w:b/>
          <w:bCs/>
        </w:rPr>
        <w:t xml:space="preserve">What must happen: </w:t>
      </w:r>
      <w:r>
        <w:t xml:space="preserve">Services grows at least ~10% a year and holds its ~75% gross margin even as App Store rules loosen.</w:t>
      </w:r>
    </w:p>
    <w:p>
      <w:pPr>
        <w:pStyle w:val="ListParagraph"/>
        <w:numPr>
          <w:ilvl w:val="0"/>
          <w:numId w:val="2"/>
        </w:numPr>
        <w:spacing w:after="60"/>
      </w:pPr>
      <w:r>
        <w:rPr>
          <w:b/>
          <w:bCs/>
        </w:rPr>
        <w:t xml:space="preserve">Why Apple specifically: </w:t>
      </w:r>
      <w:r>
        <w:t xml:space="preserve">Every device sold adds to a base monetized through many unrelated streams. In Q3 FY2026 cloud, video, payments and advertising grew strong double digits while the App Store softened; paid subscriptions passed 1.5bn. Siri AI adds an upsell: server-backed features carry usage limits, with more access sold through iCloud+.</w:t>
      </w:r>
    </w:p>
    <w:p>
      <w:pPr>
        <w:pStyle w:val="ListParagraph"/>
        <w:numPr>
          <w:ilvl w:val="0"/>
          <w:numId w:val="2"/>
        </w:numPr>
        <w:spacing w:after="60"/>
      </w:pPr>
      <w:r>
        <w:rPr>
          <w:b/>
          <w:bCs/>
        </w:rPr>
        <w:t xml:space="preserve">Evidence: </w:t>
      </w:r>
      <w:r>
        <w:t xml:space="preserve">Services $85.2bn → $109.2bn over FY2023–FY2025 (+13%, +14%), then +14% to $91.7bn in 9M FY2026 at a 76.3% gross margin, up from 70.8% in FY2023 [FY2025 10-K; Q3 FY2026 10-Q].</w:t>
      </w:r>
    </w:p>
    <w:p>
      <w:pPr>
        <w:pStyle w:val="ListParagraph"/>
        <w:numPr>
          <w:ilvl w:val="0"/>
          <w:numId w:val="2"/>
        </w:numPr>
        <w:spacing w:after="60"/>
      </w:pPr>
      <w:r>
        <w:rPr>
          <w:b/>
          <w:bCs/>
        </w:rPr>
        <w:t xml:space="preserve">What to monitor: </w:t>
      </w:r>
      <w:r>
        <w:t xml:space="preserve">Services growth excluding FX, Services gross margin, App Store commentary.</w:t>
      </w:r>
    </w:p>
    <w:p>
      <w:pPr>
        <w:pStyle w:val="Heading2"/>
      </w:pPr>
      <w:r>
        <w:t xml:space="preserve">A2 — The installed base upgrades at rising prices</w:t>
      </w:r>
    </w:p>
    <w:p>
      <w:pPr>
        <w:pStyle w:val="ListParagraph"/>
        <w:numPr>
          <w:ilvl w:val="0"/>
          <w:numId w:val="2"/>
        </w:numPr>
        <w:spacing w:after="60"/>
      </w:pPr>
      <w:r>
        <w:rPr>
          <w:b/>
          <w:bCs/>
        </w:rPr>
        <w:t xml:space="preserve">What must happen: </w:t>
      </w:r>
      <w:r>
        <w:t xml:space="preserve">iPhone revenue does not snap back after FY2026's surge; higher prices stick without breaking volume.</w:t>
      </w:r>
    </w:p>
    <w:p>
      <w:pPr>
        <w:pStyle w:val="ListParagraph"/>
        <w:numPr>
          <w:ilvl w:val="0"/>
          <w:numId w:val="2"/>
        </w:numPr>
        <w:spacing w:after="60"/>
      </w:pPr>
      <w:r>
        <w:rPr>
          <w:b/>
          <w:bCs/>
        </w:rPr>
        <w:t xml:space="preserve">Why Apple specifically: </w:t>
      </w:r>
      <w:r>
        <w:t xml:space="preserve">Apple controls silicon (A20 Pro on 2nm), OS and on-device models together, so AI arrives as a reason to buy new hardware, not a free update. High residual values support leasing (Apple Upgrade) and trade-ins that shorten the cycle.</w:t>
      </w:r>
    </w:p>
    <w:p>
      <w:pPr>
        <w:pStyle w:val="ListParagraph"/>
        <w:numPr>
          <w:ilvl w:val="0"/>
          <w:numId w:val="2"/>
        </w:numPr>
        <w:spacing w:after="60"/>
      </w:pPr>
      <w:r>
        <w:rPr>
          <w:b/>
          <w:bCs/>
        </w:rPr>
        <w:t xml:space="preserve">Evidence: </w:t>
      </w:r>
      <w:r>
        <w:t xml:space="preserve">iPhone +22% to $196.5bn in 9M FY2026 after +0% (FY2024) and +4% (FY2025); record June-quarter upgraders; demand ran ahead of advanced-node supply [Q3 FY2026 10-Q; Q3 call]. iPhone 18 Pro starts at $1,199 versus $1,099 for iPhone 17 Pro; the foldable iPhone Duo starts at $1,999 [launch transcripts].</w:t>
      </w:r>
    </w:p>
    <w:p>
      <w:pPr>
        <w:pStyle w:val="ListParagraph"/>
        <w:numPr>
          <w:ilvl w:val="0"/>
          <w:numId w:val="2"/>
        </w:numPr>
        <w:spacing w:after="60"/>
      </w:pPr>
      <w:r>
        <w:rPr>
          <w:b/>
          <w:bCs/>
        </w:rPr>
        <w:t xml:space="preserve">What to monitor: </w:t>
      </w:r>
      <w:r>
        <w:t xml:space="preserve">iPhone growth in the December 2026 quarter; Mac/iPad demand after price increases.</w:t>
      </w:r>
    </w:p>
    <w:p>
      <w:pPr>
        <w:pStyle w:val="Heading2"/>
      </w:pPr>
      <w:r>
        <w:t xml:space="preserve">A3 — Underlying gross margin settles above the FY2025 level despite memory</w:t>
      </w:r>
    </w:p>
    <w:p>
      <w:pPr>
        <w:pStyle w:val="ListParagraph"/>
        <w:numPr>
          <w:ilvl w:val="0"/>
          <w:numId w:val="2"/>
        </w:numPr>
        <w:spacing w:after="60"/>
      </w:pPr>
      <w:r>
        <w:rPr>
          <w:b/>
          <w:bCs/>
        </w:rPr>
        <w:t xml:space="preserve">What must happen: </w:t>
      </w:r>
      <w:r>
        <w:t xml:space="preserve">Gross margin excluding tariff refunds stabilizes around 46–47% rather than sliding back toward the 44% of FY2023.</w:t>
      </w:r>
    </w:p>
    <w:p>
      <w:pPr>
        <w:pStyle w:val="ListParagraph"/>
        <w:numPr>
          <w:ilvl w:val="0"/>
          <w:numId w:val="2"/>
        </w:numPr>
        <w:spacing w:after="60"/>
      </w:pPr>
      <w:r>
        <w:rPr>
          <w:b/>
          <w:bCs/>
        </w:rPr>
        <w:t xml:space="preserve">Why Apple specifically: </w:t>
      </w:r>
      <w:r>
        <w:t xml:space="preserve">Services mix rises every year, Apple has shown it will raise prices, and non-memory component costs are falling.</w:t>
      </w:r>
    </w:p>
    <w:p>
      <w:pPr>
        <w:pStyle w:val="ListParagraph"/>
        <w:numPr>
          <w:ilvl w:val="0"/>
          <w:numId w:val="2"/>
        </w:numPr>
        <w:spacing w:after="60"/>
      </w:pPr>
      <w:r>
        <w:rPr>
          <w:b/>
          <w:bCs/>
        </w:rPr>
        <w:t xml:space="preserve">Evidence: </w:t>
      </w:r>
      <w:r>
        <w:t xml:space="preserve">Gross margin 44.1% (FY2023) → 46.9% (FY2025) → 49.3% (Q2 FY2026). Q3 printed 50.1% including ~2pts of tariff refunds (48.1% underlying); Q4 guide 47–48% including ~1pt of refunds [Q3 call].</w:t>
      </w:r>
    </w:p>
    <w:p>
      <w:pPr>
        <w:pStyle w:val="ListParagraph"/>
        <w:numPr>
          <w:ilvl w:val="0"/>
          <w:numId w:val="2"/>
        </w:numPr>
        <w:spacing w:after="60"/>
      </w:pPr>
      <w:r>
        <w:rPr>
          <w:b/>
          <w:bCs/>
        </w:rPr>
        <w:t xml:space="preserve">What to monitor: </w:t>
      </w:r>
      <w:r>
        <w:t xml:space="preserve">Underlying gross margin in Q4 FY2026 and Q1 FY2027; Products gross margin.</w:t>
      </w:r>
    </w:p>
    <w:p>
      <w:pPr>
        <w:pStyle w:val="Heading2"/>
      </w:pPr>
      <w:r>
        <w:t xml:space="preserve">A4 — Cash conversion and buybacks keep converting earnings into per-share growth</w:t>
      </w:r>
    </w:p>
    <w:p>
      <w:pPr>
        <w:pStyle w:val="ListParagraph"/>
        <w:numPr>
          <w:ilvl w:val="0"/>
          <w:numId w:val="2"/>
        </w:numPr>
        <w:spacing w:after="60"/>
      </w:pPr>
      <w:r>
        <w:rPr>
          <w:b/>
          <w:bCs/>
        </w:rPr>
        <w:t xml:space="preserve">What must happen: </w:t>
      </w:r>
      <w:r>
        <w:t xml:space="preserve">Free cash flow stays around $130bn+ with light capex while AI scales, and repurchases continue.</w:t>
      </w:r>
    </w:p>
    <w:p>
      <w:pPr>
        <w:pStyle w:val="ListParagraph"/>
        <w:numPr>
          <w:ilvl w:val="0"/>
          <w:numId w:val="2"/>
        </w:numPr>
        <w:spacing w:after="60"/>
      </w:pPr>
      <w:r>
        <w:rPr>
          <w:b/>
          <w:bCs/>
        </w:rPr>
        <w:t xml:space="preserve">Why Apple specifically: </w:t>
      </w:r>
      <w:r>
        <w:t xml:space="preserve">No owned factories, and AI runs on a hybrid of Apple data centers and rented cloud, so growth needs little fixed capital. A further $100bn buyback was authorized April 30, 2026.</w:t>
      </w:r>
    </w:p>
    <w:p>
      <w:pPr>
        <w:pStyle w:val="ListParagraph"/>
        <w:numPr>
          <w:ilvl w:val="0"/>
          <w:numId w:val="2"/>
        </w:numPr>
        <w:spacing w:after="60"/>
      </w:pPr>
      <w:r>
        <w:rPr>
          <w:b/>
          <w:bCs/>
        </w:rPr>
        <w:t xml:space="preserve">Evidence: </w:t>
      </w:r>
      <w:r>
        <w:t xml:space="preserve">TTM operating cash flow $146.7bn against $10.0bn of capex (derived from FY2025 10-K and Q3 FY2026 10-Q). Buybacks $90.7bn in FY2025 and $62.1bn in 9M FY2026; diluted shares 15.81bn (FY2023) → 15.00bn (FY2025) → 14.71bn (Q3 FY2026).</w:t>
      </w:r>
    </w:p>
    <w:p>
      <w:pPr>
        <w:pStyle w:val="ListParagraph"/>
        <w:numPr>
          <w:ilvl w:val="0"/>
          <w:numId w:val="2"/>
        </w:numPr>
        <w:spacing w:after="60"/>
      </w:pPr>
      <w:r>
        <w:rPr>
          <w:b/>
          <w:bCs/>
        </w:rPr>
        <w:t xml:space="preserve">What to monitor: </w:t>
      </w:r>
      <w:r>
        <w:t xml:space="preserve">R&amp;D and capex intensity; diluted share count; buyback pace.</w:t>
      </w:r>
    </w:p>
    <w:p>
      <w:pPr>
        <w:spacing w:after="120" w:before="160"/>
      </w:pPr>
      <w:r>
        <w:rPr>
          <w:b/>
          <w:bCs/>
        </w:rPr>
        <w:t xml:space="preserve">Why the market might be missing it: </w:t>
      </w:r>
      <w:r>
        <w:t xml:space="preserve">the FY2026 margin is rightly discounted as tariff-flattered and memory-exposed, but Apple's answer to what Cook called a "100-year flood" in memory pricing has been price — and it is sticking so far, with iPhone demand outrunning supply. Siri AI is the first reason in years for the base to pay more both up front and monthly (iCloud+). If memory normalizes and prices do not, margins rebound from a higher revenue base. (Interpretation.)</w:t>
      </w:r>
    </w:p>
    <w:p>
      <w:pPr>
        <w:pStyle w:val="Heading1"/>
      </w:pPr>
      <w:r>
        <w:t xml:space="preserve">3. Bear case — Munger invert</w:t>
      </w:r>
    </w:p>
    <w:p>
      <w:pPr>
        <w:spacing w:after="120"/>
      </w:pPr>
      <w:r>
        <w:t xml:space="preserve">The most likely way I lose money is that FY2026 proves to be a peak stacked on three things that do not repeat — a pent-up iPhone upgrade wave, a tariff refund and pre-inflation memory — while courts reprice the Services dollars that cost Apple nothing to earn.</w:t>
      </w:r>
    </w:p>
    <w:p>
      <w:pPr>
        <w:pStyle w:val="Heading2"/>
      </w:pPr>
      <w:r>
        <w:t xml:space="preserve">B1 — Services' best dollars are legally contingent (attacks A1)</w:t>
      </w:r>
    </w:p>
    <w:p>
      <w:pPr>
        <w:pStyle w:val="ListParagraph"/>
        <w:numPr>
          <w:ilvl w:val="0"/>
          <w:numId w:val="2"/>
        </w:numPr>
        <w:spacing w:after="60"/>
      </w:pPr>
      <w:r>
        <w:rPr>
          <w:b/>
          <w:bCs/>
        </w:rPr>
        <w:t xml:space="preserve">How it could fail: </w:t>
      </w:r>
      <w:r>
        <w:t xml:space="preserve">Two of the highest-margin Services streams sit in court. A reversal on appeal in US v. Google "could result in imposition of certain remedies initially proposed by the DOJ, such as those prohibiting Google from offering the Company commercial terms for search distribution" [Q3 FY2026 10-Q]. The Supreme Court (cert granted June 30, 2026) and the EU DMA decide what Apple may charge on App Store transactions.</w:t>
      </w:r>
    </w:p>
    <w:p>
      <w:pPr>
        <w:pStyle w:val="ListParagraph"/>
        <w:numPr>
          <w:ilvl w:val="0"/>
          <w:numId w:val="2"/>
        </w:numPr>
        <w:spacing w:after="60"/>
      </w:pPr>
      <w:r>
        <w:rPr>
          <w:b/>
          <w:bCs/>
        </w:rPr>
        <w:t xml:space="preserve">What would confirm failure: </w:t>
      </w:r>
      <w:r>
        <w:t xml:space="preserve">Reinstated DOJ remedies; Services below 10% ex-FX with falling margin. Deceleration has started: +16% (Q2) → +12% (Q3) → Q4 guided similar ex-FX, ~9–10% reported (derived), with mobile-gaming softness and App Store model changes in certain countries [Q3 call].</w:t>
      </w:r>
    </w:p>
    <w:p>
      <w:pPr>
        <w:pStyle w:val="ListParagraph"/>
        <w:numPr>
          <w:ilvl w:val="0"/>
          <w:numId w:val="2"/>
        </w:numPr>
        <w:spacing w:after="60"/>
      </w:pPr>
      <w:r>
        <w:rPr>
          <w:b/>
          <w:bCs/>
        </w:rPr>
        <w:t xml:space="preserve">Damage to economics: </w:t>
      </w:r>
      <w:r>
        <w:t xml:space="preserve">Search licensing has almost no cost against it, so lost revenue falls nearly one-for-one to operating income. The amount is undisclosed and cannot be sized from sources — the largest blind spot in this memo.</w:t>
      </w:r>
    </w:p>
    <w:p>
      <w:pPr>
        <w:pStyle w:val="ListParagraph"/>
        <w:numPr>
          <w:ilvl w:val="0"/>
          <w:numId w:val="2"/>
        </w:numPr>
        <w:spacing w:after="60"/>
      </w:pPr>
      <w:r>
        <w:rPr>
          <w:b/>
          <w:bCs/>
        </w:rPr>
        <w:t xml:space="preserve">Permanent or fixable: </w:t>
      </w:r>
      <w:r>
        <w:t xml:space="preserve">Permanent. A legal outcome reprices the franchise; no product cycle fixes it.</w:t>
      </w:r>
    </w:p>
    <w:p>
      <w:pPr>
        <w:pStyle w:val="Heading2"/>
      </w:pPr>
      <w:r>
        <w:t xml:space="preserve">B2 — The AI upgrade driver runs on Google's model and rented compute (attacks A2)</w:t>
      </w:r>
    </w:p>
    <w:p>
      <w:pPr>
        <w:pStyle w:val="ListParagraph"/>
        <w:numPr>
          <w:ilvl w:val="0"/>
          <w:numId w:val="2"/>
        </w:numPr>
        <w:spacing w:after="60"/>
      </w:pPr>
      <w:r>
        <w:rPr>
          <w:b/>
          <w:bCs/>
        </w:rPr>
        <w:t xml:space="preserve">How it could fail: </w:t>
      </w:r>
      <w:r>
        <w:t xml:space="preserve">Siri AI is powered by "a collaboration with Google" on Apple Foundation Models, terms undisclosed [Q1 FY2026 call], and Apple warns it "may be unable to secure sufficient capacity on commercially reasonable terms, or at all" for compute [Q3 FY2026 10-Q]. The counterparty that pays Apple for search now supplies the intelligence behind the upgrade cycle — both relationships run through one company under antitrust remedy. Siri AI is not yet offered on iPhone in the EU, and China has approved only earlier Apple Intelligence features [Q3 call].</w:t>
      </w:r>
    </w:p>
    <w:p>
      <w:pPr>
        <w:pStyle w:val="ListParagraph"/>
        <w:numPr>
          <w:ilvl w:val="0"/>
          <w:numId w:val="2"/>
        </w:numPr>
        <w:spacing w:after="60"/>
      </w:pPr>
      <w:r>
        <w:rPr>
          <w:b/>
          <w:bCs/>
        </w:rPr>
        <w:t xml:space="preserve">What would confirm failure: </w:t>
      </w:r>
      <w:r>
        <w:t xml:space="preserve">iPhone 18 cycle fails to extend growth despite Siri AI; AI costs rise in COGS and OpEx without iCloud+ uptake.</w:t>
      </w:r>
    </w:p>
    <w:p>
      <w:pPr>
        <w:pStyle w:val="ListParagraph"/>
        <w:numPr>
          <w:ilvl w:val="0"/>
          <w:numId w:val="2"/>
        </w:numPr>
        <w:spacing w:after="60"/>
      </w:pPr>
      <w:r>
        <w:rPr>
          <w:b/>
          <w:bCs/>
        </w:rPr>
        <w:t xml:space="preserve">Damage to economics: </w:t>
      </w:r>
      <w:r>
        <w:t xml:space="preserve">Differentiation shifts from integration Apple owns to a model it rents, weakening A2's pricing power; AI costs scale with every query, eroding margin on hardware and Services alike.</w:t>
      </w:r>
    </w:p>
    <w:p>
      <w:pPr>
        <w:pStyle w:val="ListParagraph"/>
        <w:numPr>
          <w:ilvl w:val="0"/>
          <w:numId w:val="2"/>
        </w:numPr>
        <w:spacing w:after="60"/>
      </w:pPr>
      <w:r>
        <w:rPr>
          <w:b/>
          <w:bCs/>
        </w:rPr>
        <w:t xml:space="preserve">Permanent or fixable: </w:t>
      </w:r>
      <w:r>
        <w:t xml:space="preserve">Fixable over years if Apple's own models catch up; expensive in the meantime.</w:t>
      </w:r>
    </w:p>
    <w:p>
      <w:pPr>
        <w:pStyle w:val="Heading2"/>
      </w:pPr>
      <w:r>
        <w:t xml:space="preserve">B3 — Memory is already resetting the margin (attacks A3)</w:t>
      </w:r>
    </w:p>
    <w:p>
      <w:pPr>
        <w:pStyle w:val="ListParagraph"/>
        <w:numPr>
          <w:ilvl w:val="0"/>
          <w:numId w:val="2"/>
        </w:numPr>
        <w:spacing w:after="60"/>
      </w:pPr>
      <w:r>
        <w:rPr>
          <w:b/>
          <w:bCs/>
        </w:rPr>
        <w:t xml:space="preserve">How it could fail: </w:t>
      </w:r>
      <w:r>
        <w:t xml:space="preserve">Underlying gross margin fell 49.3% (Q2) → 48.1% (Q3 ex-refund) → 46.5% (Q4 guide midpoint ex-refund), with "more than 100%" of each step explained by memory [Q3 call]. Management expects memory prices to keep rising beyond September while the carry-in inventory benefit fades, and the 10-Q warns price increases "may also reduce demand".</w:t>
      </w:r>
    </w:p>
    <w:p>
      <w:pPr>
        <w:pStyle w:val="ListParagraph"/>
        <w:numPr>
          <w:ilvl w:val="0"/>
          <w:numId w:val="2"/>
        </w:numPr>
        <w:spacing w:after="60"/>
      </w:pPr>
      <w:r>
        <w:rPr>
          <w:b/>
          <w:bCs/>
        </w:rPr>
        <w:t xml:space="preserve">What would confirm failure: </w:t>
      </w:r>
      <w:r>
        <w:t xml:space="preserve">Underlying gross margin below 46% in Q1 FY2027; Mac or iPad volumes weakening after price increases.</w:t>
      </w:r>
    </w:p>
    <w:p>
      <w:pPr>
        <w:pStyle w:val="ListParagraph"/>
        <w:numPr>
          <w:ilvl w:val="0"/>
          <w:numId w:val="2"/>
        </w:numPr>
        <w:spacing w:after="60"/>
      </w:pPr>
      <w:r>
        <w:rPr>
          <w:b/>
          <w:bCs/>
        </w:rPr>
        <w:t xml:space="preserve">Damage to economics: </w:t>
      </w:r>
      <w:r>
        <w:t xml:space="preserve">Each 100bp of gross margin on $466.8bn TTM revenue is ~$4.7bn of gross profit (derived). Component inventory rose from $2.1bn to $7.6bn in nine months — a pre-buy that defers, not avoids, the cost [Q3 FY2026 10-Q].</w:t>
      </w:r>
    </w:p>
    <w:p>
      <w:pPr>
        <w:pStyle w:val="ListParagraph"/>
        <w:numPr>
          <w:ilvl w:val="0"/>
          <w:numId w:val="2"/>
        </w:numPr>
        <w:spacing w:after="60"/>
      </w:pPr>
      <w:r>
        <w:rPr>
          <w:b/>
          <w:bCs/>
        </w:rPr>
        <w:t xml:space="preserve">Permanent or fixable: </w:t>
      </w:r>
      <w:r>
        <w:t xml:space="preserve">Cyclical and fixable — but it lands exactly when comparisons are hardest.</w:t>
      </w:r>
    </w:p>
    <w:p>
      <w:pPr>
        <w:pStyle w:val="Heading2"/>
      </w:pPr>
      <w:r>
        <w:t xml:space="preserve">B4 — FY2026 is pulled-forward demand (attacks A2)</w:t>
      </w:r>
    </w:p>
    <w:p>
      <w:pPr>
        <w:pStyle w:val="ListParagraph"/>
        <w:numPr>
          <w:ilvl w:val="0"/>
          <w:numId w:val="2"/>
        </w:numPr>
        <w:spacing w:after="60"/>
      </w:pPr>
      <w:r>
        <w:rPr>
          <w:b/>
          <w:bCs/>
        </w:rPr>
        <w:t xml:space="preserve">How it could fail: </w:t>
      </w:r>
      <w:r>
        <w:t xml:space="preserve">Three quarters of +22% iPhone growth on a +4% FY2025 base may be a replacement cycle compressed into one year, amplified by leasing, trade-ins and supply-delayed orders.</w:t>
      </w:r>
    </w:p>
    <w:p>
      <w:pPr>
        <w:pStyle w:val="ListParagraph"/>
        <w:numPr>
          <w:ilvl w:val="0"/>
          <w:numId w:val="2"/>
        </w:numPr>
        <w:spacing w:after="60"/>
      </w:pPr>
      <w:r>
        <w:rPr>
          <w:b/>
          <w:bCs/>
        </w:rPr>
        <w:t xml:space="preserve">What would confirm failure: </w:t>
      </w:r>
      <w:r>
        <w:t xml:space="preserve">iPhone revenue declining year over year in 2H FY2027 without a macro or competitive explanation.</w:t>
      </w:r>
    </w:p>
    <w:p>
      <w:pPr>
        <w:pStyle w:val="ListParagraph"/>
        <w:numPr>
          <w:ilvl w:val="0"/>
          <w:numId w:val="2"/>
        </w:numPr>
        <w:spacing w:after="60"/>
      </w:pPr>
      <w:r>
        <w:rPr>
          <w:b/>
          <w:bCs/>
        </w:rPr>
        <w:t xml:space="preserve">Damage to economics: </w:t>
      </w:r>
      <w:r>
        <w:t xml:space="preserve">One to two years of falling hardware earnings with iPhone at 53% of revenue; Services unaffected because the base still grows.</w:t>
      </w:r>
    </w:p>
    <w:p>
      <w:pPr>
        <w:pStyle w:val="ListParagraph"/>
        <w:numPr>
          <w:ilvl w:val="0"/>
          <w:numId w:val="2"/>
        </w:numPr>
        <w:spacing w:after="60"/>
      </w:pPr>
      <w:r>
        <w:rPr>
          <w:b/>
          <w:bCs/>
        </w:rPr>
        <w:t xml:space="preserve">Permanent or fixable: </w:t>
      </w:r>
      <w:r>
        <w:t xml:space="preserve">Temporary. Hurts earnings, not the franchise.</w:t>
      </w:r>
    </w:p>
    <w:p>
      <w:pPr>
        <w:pStyle w:val="Heading2"/>
      </w:pPr>
      <w:r>
        <w:t xml:space="preserve">B5 — AI spending erodes the capital-light model (attacks A4)</w:t>
      </w:r>
    </w:p>
    <w:p>
      <w:pPr>
        <w:pStyle w:val="ListParagraph"/>
        <w:numPr>
          <w:ilvl w:val="0"/>
          <w:numId w:val="2"/>
        </w:numPr>
        <w:spacing w:after="60"/>
      </w:pPr>
      <w:r>
        <w:rPr>
          <w:b/>
          <w:bCs/>
        </w:rPr>
        <w:t xml:space="preserve">How it could fail: </w:t>
      </w:r>
      <w:r>
        <w:t xml:space="preserve">R&amp;D rose 32% in Q3 to $11.7bn (10.7% of sales versus 9.4%); Apple dropped its net-cash-neutral target in April; net intangibles rose from $11.1bn to $20.3bn in nine months without explanation [Q3 FY2026 10-Q; Q2 call].</w:t>
      </w:r>
    </w:p>
    <w:p>
      <w:pPr>
        <w:pStyle w:val="ListParagraph"/>
        <w:numPr>
          <w:ilvl w:val="0"/>
          <w:numId w:val="2"/>
        </w:numPr>
        <w:spacing w:after="60"/>
      </w:pPr>
      <w:r>
        <w:rPr>
          <w:b/>
          <w:bCs/>
        </w:rPr>
        <w:t xml:space="preserve">What would confirm failure: </w:t>
      </w:r>
      <w:r>
        <w:t xml:space="preserve">R&amp;D outgrowing revenue for a full year; capex stepping up to fund owned AI capacity.</w:t>
      </w:r>
    </w:p>
    <w:p>
      <w:pPr>
        <w:pStyle w:val="ListParagraph"/>
        <w:numPr>
          <w:ilvl w:val="0"/>
          <w:numId w:val="2"/>
        </w:numPr>
        <w:spacing w:after="60"/>
      </w:pPr>
      <w:r>
        <w:rPr>
          <w:b/>
          <w:bCs/>
        </w:rPr>
        <w:t xml:space="preserve">Damage to economics: </w:t>
      </w:r>
      <w:r>
        <w:t xml:space="preserve">Lower cash conversion slows buybacks, the engine behind per-share growth. Diluted-share shrink has already slowed to ~1.6% year over year (14.71bn vs 14.95bn in Q3).</w:t>
      </w:r>
    </w:p>
    <w:p>
      <w:pPr>
        <w:pStyle w:val="ListParagraph"/>
        <w:numPr>
          <w:ilvl w:val="0"/>
          <w:numId w:val="2"/>
        </w:numPr>
        <w:spacing w:after="60"/>
      </w:pPr>
      <w:r>
        <w:rPr>
          <w:b/>
          <w:bCs/>
        </w:rPr>
        <w:t xml:space="preserve">Permanent or fixable: </w:t>
      </w:r>
      <w:r>
        <w:t xml:space="preserve">Medium — a strategic choice, reversible only by conceding AI to partners.</w:t>
      </w:r>
    </w:p>
    <w:p>
      <w:pPr>
        <w:pStyle w:val="Heading1"/>
      </w:pPr>
      <w:r>
        <w:t xml:space="preserve">4. Signals to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300"/>
        <w:gridCol w:w="2660"/>
        <w:gridCol w:w="1200"/>
      </w:tblGrid>
      <w:tr>
        <w:trPr>
          <w:tblHeader/>
        </w:trPr>
        <w:tc>
          <w:tcPr>
            <w:tcW w:type="dxa" w:w="20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18"/>
                <w:szCs w:val="18"/>
              </w:rPr>
              <w:t xml:space="preserve">Signal</w:t>
            </w:r>
          </w:p>
        </w:tc>
        <w:tc>
          <w:tcPr>
            <w:tcW w:type="dxa" w:w="22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18"/>
                <w:szCs w:val="18"/>
              </w:rPr>
              <w:t xml:space="preserve">Current value</w:t>
            </w:r>
          </w:p>
        </w:tc>
        <w:tc>
          <w:tcPr>
            <w:tcW w:type="dxa" w:w="13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18"/>
                <w:szCs w:val="18"/>
              </w:rPr>
              <w:t xml:space="preserve">Source</w:t>
            </w:r>
          </w:p>
        </w:tc>
        <w:tc>
          <w:tcPr>
            <w:tcW w:type="dxa" w:w="266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18"/>
                <w:szCs w:val="18"/>
              </w:rPr>
              <w:t xml:space="preserve">Direction that matters</w:t>
            </w:r>
          </w:p>
        </w:tc>
        <w:tc>
          <w:tcPr>
            <w:tcW w:type="dxa" w:w="12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r>
              <w:rPr>
                <w:b/>
                <w:bCs/>
                <w:sz w:val="18"/>
                <w:szCs w:val="18"/>
              </w:rPr>
              <w:t xml:space="preserve">Tracks</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Services revenue growth (ex-FX)</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+12% reported Q3 FY26; Q4 guided ~similar ex ~2.5pt FX</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Q3 FY26 call</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Below 10% ex-FX = A1 failing / B1 arriving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A1 · B1</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Gross margin excluding tariff refunds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48.1% Q3 FY26; 46.5% Q4 guide midpoint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Q3 FY26 call</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Holding ≥46% supports A3; below 46% confirms B3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A3 · B3</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iPhone revenue growth</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+22% Q3 and 9M FY26; Q4 guided mid-teens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Q3 FY26 10-Q; call</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Negative in 2H FY27 confirms B4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A2 · B4</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iPhone Pro entry price vs prior year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$1,199 (18 Pro) vs $1,099 (17 Pro)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Launch transcripts</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Price held with iPhone growth = pricing power (A2)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A2 · B3</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US v. Google search-remedies appeal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Appealed by DOJ and Google; pending</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Q3 FY26 10-Q</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Reinstated DOJ remedies breaks A1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B1</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Epic / App Store Supreme Court case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Cert granted Jun 30, 2026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Q3 FY26 10-Q</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Adverse ruling narrows commissions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B1</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R&amp;D as % of sales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10.7% Q3 FY26 vs 9.4% Q3 FY25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Q3 FY26 10-Q</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Rising without revenue response = B5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A4 · B5 · B2</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Diluted share count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14.71bn Q3 FY26 vs 14.95bn a year earlier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Q3 FY26 10-Q</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Annual shrink below ~1.5% weakens A4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A4 · B5</w:t>
            </w:r>
          </w:p>
        </w:tc>
      </w:tr>
    </w:tbl>
    <w:p>
      <w:pPr>
        <w:pStyle w:val="Heading1"/>
        <w:spacing w:before="240"/>
      </w:pPr>
      <w:r>
        <w:t xml:space="preserve">6. Bottom line</w:t>
      </w:r>
    </w:p>
    <w:p>
      <w:pPr>
        <w:spacing w:after="120"/>
      </w:pPr>
      <w:r>
        <w:t xml:space="preserve">Apple can work because 2.5bn+ active devices give it a recurring, ~75%-margin Services annuity and, as FY2026 showed, the pricing power to reignite iPhone revenue while ~$137bn of free cash flow retires shares. What must go right is that Services keeps growing around 10% or better, underlying gross margin settles near 46–47% instead of sliding with memory costs, and iPhone 18's higher prices stick. The thesis breaks most permanently if courts reprice Google's search payments or App Store commissions — Services' near-costless dollars — just as a Siri AI cycle that itself runs on Google's model proves to be a one-time pull-forward. I would change my mind on underlying gross margin below 46% in Q1 FY2027, Services growth below 10% ex-FX, or an appellate ruling that reinstates the DOJ's search remedies.</w:t>
      </w:r>
    </w:p>
    <w:p>
      <w:pPr>
        <w:pStyle w:val="Heading2"/>
      </w:pPr>
      <w:r>
        <w:t xml:space="preserve">Sources</w:t>
      </w:r>
    </w:p>
    <w:p>
      <w:pPr>
        <w:spacing w:after="40"/>
      </w:pPr>
      <w:r>
        <w:rPr>
          <w:b/>
          <w:bCs/>
        </w:rPr>
        <w:t xml:space="preserve">Annual and quarterly filings</w:t>
      </w:r>
    </w:p>
    <w:p>
      <w:pPr>
        <w:pStyle w:val="ListParagraph"/>
        <w:numPr>
          <w:ilvl w:val="0"/>
          <w:numId w:val="2"/>
        </w:numPr>
      </w:pPr>
      <w:r>
        <w:rPr>
          <w:sz w:val="18"/>
          <w:szCs w:val="18"/>
        </w:rPr>
        <w:t xml:space="preserve">Form 10-K FY2025 (filed 2025-10-31) — FY2023–FY2025 category sales, gross margins, buybacks, diluted shares</w:t>
      </w:r>
    </w:p>
    <w:p>
      <w:pPr>
        <w:pStyle w:val="ListParagraph"/>
        <w:numPr>
          <w:ilvl w:val="0"/>
          <w:numId w:val="2"/>
        </w:numPr>
      </w:pPr>
      <w:r>
        <w:rPr>
          <w:sz w:val="18"/>
          <w:szCs w:val="18"/>
        </w:rPr>
        <w:t xml:space="preserve">Form 10-Q Q3 FY2026 (filed 2026-07-31) — 9M/Q3 results, tariff refunds, memory and compute risk factors, Google and Epic proceedings, inventories, intangibles</w:t>
      </w:r>
    </w:p>
    <w:p>
      <w:pPr>
        <w:spacing w:after="40"/>
      </w:pPr>
      <w:r>
        <w:rPr>
          <w:b/>
          <w:bCs/>
        </w:rPr>
        <w:t xml:space="preserve">Earnings-call transcripts</w:t>
      </w:r>
    </w:p>
    <w:p>
      <w:pPr>
        <w:pStyle w:val="ListParagraph"/>
        <w:numPr>
          <w:ilvl w:val="0"/>
          <w:numId w:val="2"/>
        </w:numPr>
      </w:pPr>
      <w:r>
        <w:rPr>
          <w:sz w:val="18"/>
          <w:szCs w:val="18"/>
        </w:rPr>
        <w:t xml:space="preserve">Q1 FY2026 call (2026-01-29) — Google collaboration on Apple Foundation Models; hybrid capex model</w:t>
      </w:r>
    </w:p>
    <w:p>
      <w:pPr>
        <w:pStyle w:val="ListParagraph"/>
        <w:numPr>
          <w:ilvl w:val="0"/>
          <w:numId w:val="2"/>
        </w:numPr>
      </w:pPr>
      <w:r>
        <w:rPr>
          <w:sz w:val="18"/>
          <w:szCs w:val="18"/>
        </w:rPr>
        <w:t xml:space="preserve">Q2 FY2026 call (2026-04-30) — 49.3% gross margin; net-cash-neutral target dropped; $100bn authorization</w:t>
      </w:r>
    </w:p>
    <w:p>
      <w:pPr>
        <w:pStyle w:val="ListParagraph"/>
        <w:numPr>
          <w:ilvl w:val="0"/>
          <w:numId w:val="2"/>
        </w:numPr>
      </w:pPr>
      <w:r>
        <w:rPr>
          <w:sz w:val="18"/>
          <w:szCs w:val="18"/>
        </w:rPr>
        <w:t xml:space="preserve">Q3 FY2026 call (2026-07-30) — tariff-refund impact, Q4 guidance, memory walk, Services deceleration, 2.5bn devices, 1.5bn subscriptions</w:t>
      </w:r>
    </w:p>
    <w:p>
      <w:pPr>
        <w:spacing w:after="40"/>
      </w:pPr>
      <w:r>
        <w:rPr>
          <w:b/>
          <w:bCs/>
        </w:rPr>
        <w:t xml:space="preserve">Product-launch transcripts</w:t>
      </w:r>
    </w:p>
    <w:p>
      <w:pPr>
        <w:pStyle w:val="ListParagraph"/>
        <w:numPr>
          <w:ilvl w:val="0"/>
          <w:numId w:val="2"/>
        </w:numPr>
      </w:pPr>
      <w:r>
        <w:rPr>
          <w:sz w:val="18"/>
          <w:szCs w:val="18"/>
        </w:rPr>
        <w:t xml:space="preserve">Sep 9, 2025 launch — iPhone 17 Pro from $1,099</w:t>
      </w:r>
    </w:p>
    <w:p>
      <w:pPr>
        <w:pStyle w:val="ListParagraph"/>
        <w:numPr>
          <w:ilvl w:val="0"/>
          <w:numId w:val="2"/>
        </w:numPr>
      </w:pPr>
      <w:r>
        <w:rPr>
          <w:sz w:val="18"/>
          <w:szCs w:val="18"/>
        </w:rPr>
        <w:t xml:space="preserve">Sep 9, 2026 launch — iPhone 18 Pro from $1,199, iPhone Duo from $1,999, Siri AI usage limits and iCloud+ access</w:t>
      </w:r>
    </w:p>
    <w:p>
      <w:pPr>
        <w:spacing w:before="200"/>
      </w:pPr>
      <w:r>
        <w:rPr>
          <w:i/>
          <w:iCs/>
          <w:sz w:val="18"/>
          <w:szCs w:val="18"/>
        </w:rPr>
        <w:t xml:space="preserve">Section 5 (external challenge) is reserved; run it by asking for "external challenge". Figures marked (derived) are computed from filing data.</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b/>
      <w:bCs/>
      <w:sz w:val="36"/>
      <w:szCs w:val="36"/>
    </w:rPr>
  </w:style>
  <w:style w:type="paragraph" w:styleId="Heading1">
    <w:name w:val="Heading 1"/>
    <w:basedOn w:val="Normal"/>
    <w:next w:val="Normal"/>
    <w:qFormat/>
    <w:pPr>
      <w:spacing w:after="120" w:before="280"/>
      <w:outlineLvl w:val="0"/>
    </w:pPr>
    <w:rPr>
      <w:b/>
      <w:bCs/>
      <w:color w:val="1F1F1F"/>
      <w:sz w:val="28"/>
      <w:szCs w:val="28"/>
    </w:rPr>
  </w:style>
  <w:style w:type="paragraph" w:styleId="Heading2">
    <w:name w:val="Heading 2"/>
    <w:basedOn w:val="Normal"/>
    <w:next w:val="Normal"/>
    <w:qFormat/>
    <w:pPr>
      <w:spacing w:after="80" w:before="180"/>
      <w:outlineLvl w:val="1"/>
    </w:pPr>
    <w:rPr>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2026-09-10T09:27:37.081Z</dcterms:created>
  <dcterms:modified xsi:type="dcterms:W3CDTF">2026-09-10T09:27:37.081Z</dcterms:modified>
</cp:coreProperties>
</file>

<file path=docProps/custom.xml><?xml version="1.0" encoding="utf-8"?>
<Properties xmlns="http://schemas.openxmlformats.org/officeDocument/2006/custom-properties" xmlns:vt="http://schemas.openxmlformats.org/officeDocument/2006/docPropsVTypes"/>
</file>