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rFonts w:ascii="Arial" w:cs="Arial" w:eastAsia="Arial" w:hAnsi="Arial"/>
          <w:b/>
          <w:bCs/>
          <w:color w:val="1F3864"/>
          <w:sz w:val="56"/>
          <w:szCs w:val="56"/>
        </w:rPr>
        <w:t xml:space="preserve">Business Overview</w:t>
      </w:r>
    </w:p>
    <w:p>
      <w:pPr>
        <w:spacing w:after="600"/>
        <w:jc w:val="center"/>
      </w:pPr>
      <w:r>
        <w:rPr>
          <w:rFonts w:ascii="Arial" w:cs="Arial" w:eastAsia="Arial" w:hAnsi="Arial"/>
          <w:b/>
          <w:bCs/>
          <w:color w:val="2B2B2B"/>
          <w:sz w:val="40"/>
          <w:szCs w:val="40"/>
        </w:rPr>
        <w:t xml:space="preserve">KLA Corporation (NASDAQ: KLAC)</w:t>
      </w:r>
    </w:p>
    <w:p>
      <w:pPr>
        <w:spacing w:after="200"/>
        <w:jc w:val="center"/>
      </w:pPr>
      <w:r>
        <w:rPr>
          <w:rFonts w:ascii="Arial" w:cs="Arial" w:eastAsia="Arial" w:hAnsi="Arial"/>
          <w:color w:val="595959"/>
          <w:sz w:val="24"/>
          <w:szCs w:val="24"/>
        </w:rPr>
        <w:t xml:space="preserve">5 September 2026</w:t>
      </w:r>
    </w:p>
    <w:p>
      <w:pPr>
        <w:spacing w:after="400"/>
      </w:pPr>
    </w:p>
    <w:p>
      <w:pPr>
        <w:spacing w:after="200" w:line="280"/>
        <w:jc w:val="center"/>
      </w:pPr>
      <w:r>
        <w:rPr>
          <w:rFonts w:ascii="Arial" w:cs="Arial" w:eastAsia="Arial" w:hAnsi="Arial"/>
          <w:color w:val="595959"/>
          <w:sz w:val="19"/>
          <w:szCs w:val="19"/>
        </w:rPr>
        <w:t xml:space="preserve">Evidence base: KLA FY2022–FY2026 Forms 10-K and FY2026 Forms 10-Q; FY2018, FY2019 and FY2021 Forms 10-K via EDGAR; 38 quarterly earnings releases (8-K Exhibit 99.1) covering FQ1 FY2017 to FQ4 FY2026, four of which are absent from the archive; the FQ4 FY2026 shareholder letter and slide presentation of 28 July 2026; SEMI, SIA and WSTS industry data; the filings and results releases of Applied Materials, ASML, Lam Research, Tokyo Electron, Onto Innovation, Nova, Camtek, Lasertec, Hitachi High-Tech and Skyverse; and US Bureau of Industry and Security rule texts.</w:t>
      </w:r>
    </w:p>
    <w:p>
      <w:pPr>
        <w:jc w:val="center"/>
      </w:pPr>
      <w:r>
        <w:rPr>
          <w:rFonts w:ascii="Arial" w:cs="Arial" w:eastAsia="Arial" w:hAnsi="Arial"/>
          <w:i/>
          <w:iCs/>
          <w:color w:val="595959"/>
          <w:sz w:val="19"/>
          <w:szCs w:val="19"/>
        </w:rPr>
        <w:t xml:space="preserve">This is a business overview, not a valuation and not a recommendation.</w:t>
      </w:r>
    </w:p>
    <w:p>
      <w:r>
        <w:br w:type="page"/>
      </w:r>
    </w:p>
    <w:p>
      <w:pPr>
        <w:pStyle w:val="Heading1"/>
      </w:pPr>
      <w:r>
        <w:t xml:space="preserve">1. Executive Snapshot</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2600"/>
        <w:gridCol w:w="6760"/>
      </w:tblGrid>
      <w:tr>
        <w:trPr>
          <w:tblHeader/>
        </w:trPr>
        <w:tc>
          <w:tcPr>
            <w:tcW w:type="dxa" w:w="260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Item</w:t>
            </w:r>
          </w:p>
        </w:tc>
        <w:tc>
          <w:tcPr>
            <w:tcW w:type="dxa" w:w="676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Summary</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What the business is</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The dominant supplier of process control equipment — the inspection and metrology tools that find and measure defects on semiconductor wafers and photomasks between the steps that actually build a chip.</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Industry</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Wafer fab equipment (WFE). Process control is a distinct layer interleaved through the manufacturing flow rather than one of its steps.</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How it makes money</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Sells inspection and metrology systems to a handful of leading chipmakers, then earns a usage-linked service annuity from the installed base for the life of each tool.</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Unit of economics</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One process control tool qualified into a customer's process of record. It is paid for 70–90% within 30–60 days of shipment (FY2026 10-K) and then generates service revenue for as long as that production line runs.</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What protects it</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Absolute R&amp;D scale — $1.53bn in FY2026, roughly ten times any pure-play rival's — amortised over a revenue base twelve times larger, plus process-of-record lock-in that a competitor confirms in its own SEC filing.</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What drives earnings</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Leading-edge foundry/logic and DRAM capital spending; the rising number of measurement steps per wafer at each node transition; and installed-base growth, which compounds the service line.</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What to watch</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China revenue (29.8% of FY2026, from 42.8% in FY2024); the BIS Affiliates Rule, suspended only until 10 November 2026; and whether service revenue keeps growing when product revenue next falls.</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Cycle exposure</w:t>
            </w:r>
          </w:p>
        </w:tc>
        <w:tc>
          <w:tcPr>
            <w:tcW w:type="dxa" w:w="676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Medium, and the annual figures flatter it. Fiscal-year revenue fell 6.5% in FY2024, but quarterly revenue fell 21% from its December 2022 peak to June 2023. Service revenue grew through both of the last two downturns.</w:t>
            </w:r>
          </w:p>
        </w:tc>
      </w:tr>
    </w:tbl>
    <w:p>
      <w:r>
        <w:br w:type="page"/>
      </w:r>
    </w:p>
    <w:p>
      <w:pPr>
        <w:pStyle w:val="Heading1"/>
      </w:pPr>
      <w:r>
        <w:t xml:space="preserve">2. What the Company Does</w:t>
      </w:r>
    </w:p>
    <w:p>
      <w:pPr>
        <w:spacing w:after="140" w:line="276"/>
      </w:pPr>
      <w:r>
        <w:rPr>
          <w:rFonts w:ascii="Arial" w:cs="Arial" w:eastAsia="Arial" w:hAnsi="Arial"/>
          <w:sz w:val="22"/>
          <w:szCs w:val="22"/>
        </w:rPr>
        <w:t xml:space="preserve">A modern logic chip is built by repeating a cycle — deposit a film, print a pattern, etch it away, clean the wafer — roughly a hundred times. Every repetition is a chance to introduce a particle, a misaligned layer or a dimension a few nanometres out of tolerance, and a single such flaw can kill the die. The manufacturer cannot see any of this by eye. KLA sells the instruments that look.</w:t>
      </w:r>
    </w:p>
    <w:p>
      <w:pPr>
        <w:spacing w:after="140" w:line="276"/>
      </w:pPr>
      <w:r>
        <w:rPr>
          <w:rFonts w:ascii="Arial" w:cs="Arial" w:eastAsia="Arial" w:hAnsi="Arial"/>
          <w:sz w:val="22"/>
          <w:szCs w:val="22"/>
        </w:rPr>
        <w:t xml:space="preserve">Those instruments do three distinct jobs. Inspection scans a wafer or a photomask for defects nobody knew were there and flags their coordinates. Review re-images a flagged defect at higher resolution so it can be classified and traced to the process step that caused it. Metrology measures known quantities against specification — critical dimension, film thickness, layer-to-layer overlay, bump height on a packaged die. The three-way split is not KLA's marketing construct; a Chinese competitor, Dongfang Jingyuan, organises its own product catalogue into exactly the same EBI, DR-SEM and CD-SEM lines.</w:t>
      </w:r>
    </w:p>
    <w:p>
      <w:pPr>
        <w:spacing w:after="140" w:line="276"/>
      </w:pPr>
      <w:r>
        <w:rPr>
          <w:rFonts w:ascii="Arial" w:cs="Arial" w:eastAsia="Arial" w:hAnsi="Arial"/>
          <w:sz w:val="22"/>
          <w:szCs w:val="22"/>
        </w:rPr>
        <w:t xml:space="preserve">The economic point is that none of this equipment transforms the wafer. It removes no material, deposits nothing and prints nothing. What a fab buys is information — specifically, the conversion of process uncertainty into yield. That is why the tools are bought and why their value scales with what a fab has at risk.</w:t>
      </w:r>
    </w:p>
    <w:p>
      <w:pPr>
        <w:spacing w:after="140" w:line="276"/>
      </w:pPr>
      <w:r>
        <w:rPr>
          <w:rFonts w:ascii="Arial" w:cs="Arial" w:eastAsia="Arial" w:hAnsi="Arial"/>
          <w:sz w:val="22"/>
          <w:szCs w:val="22"/>
        </w:rPr>
        <w:t xml:space="preserve">What a fab has at risk has risen sharply. SEMI puts the tooling cost of 50,000 wafer starts per month at $17.5bn at the 2-nanometre node against $1.9bn at 90nm (SEMI capex presentation, 28 May 2025) — $350,000 of equipment per monthly wafer start versus $38,000, a 9.2-times increase before land, buildings or cleanroom. That capital depreciates whether or not the die coming off the line work, so fab profitability is dominated by the fraction that do. Process control is what protects that fraction.</w:t>
      </w:r>
    </w:p>
    <w:p>
      <w:pPr>
        <w:pStyle w:val="Heading2"/>
      </w:pPr>
      <w:r>
        <w:t xml:space="preserve">The unit: one tool in a process of record</w:t>
      </w:r>
    </w:p>
    <w:p>
      <w:pPr>
        <w:spacing w:after="140" w:line="276"/>
      </w:pPr>
      <w:r>
        <w:rPr>
          <w:rFonts w:ascii="Arial" w:cs="Arial" w:eastAsia="Arial" w:hAnsi="Arial"/>
          <w:sz w:val="22"/>
          <w:szCs w:val="22"/>
        </w:rPr>
        <w:t xml:space="preserve">The unit of economics is one process control tool qualified into a customer's process of record. Trace one through. KLA configures the system to the customer's specification, ships it, and collects 70% to 90% of the contract value within 30 to 60 days of shipment, with the balance due within 30 days of acceptance (FY2026 10-K, Note 2). A standard twelve-month warranty is bundled; beyond it, the customer buys extended warranty and maintenance contracts. From that point the tool sits on the line, and KLA earns service revenue on it for as long as the line runs.</w:t>
      </w:r>
    </w:p>
    <w:p>
      <w:pPr>
        <w:spacing w:after="140" w:line="276"/>
      </w:pPr>
      <w:r>
        <w:rPr>
          <w:rFonts w:ascii="Arial" w:cs="Arial" w:eastAsia="Arial" w:hAnsi="Arial"/>
          <w:sz w:val="22"/>
          <w:szCs w:val="22"/>
        </w:rPr>
        <w:t xml:space="preserve">KLA does not disclose how many tools are installed, what one sells for, or what fraction of the base carries a service contract — all NOT FOUND across every filing reviewed, and a genuine limit on how precisely the unit can be described. What the filings do establish is the driver: service revenue is "typically a function of the number of systems installed at our customers' sites and the utilization of those systems" and of the rate of contract renewal (FY2026 10-K, MD&amp;A). Service is therefore fee-for-usage on an installed base, not fee-for-access. KLA calls it "subscription-like"; the more accurate description is a usage-linked installed-base annuity, which behaves similarly in a downturn but is not contractually the same thing.</w:t>
      </w:r>
    </w:p>
    <w:p>
      <w:pPr>
        <w:spacing w:after="140" w:line="276"/>
      </w:pPr>
      <w:r>
        <w:rPr>
          <w:rFonts w:ascii="Arial" w:cs="Arial" w:eastAsia="Arial" w:hAnsi="Arial"/>
          <w:sz w:val="22"/>
          <w:szCs w:val="22"/>
        </w:rPr>
        <w:t xml:space="preserve">One computable proxy for the annuity's size: KLA shipped roughly $61.9bn of product over the ten years FY2017–FY2026 (sum of reported product revenue). FY2026 service revenue of $3.13bn is about 5.0% of that cumulative shipped value (computed). That ratio is the closest available reading of what an installed tool returns each year once placed.</w:t>
      </w:r>
    </w:p>
    <w:p>
      <w:pPr>
        <w:pStyle w:val="Heading2"/>
      </w:pPr>
      <w:r>
        <w:t xml:space="preserve">What it sells, and what it has stopped selling</w:t>
      </w:r>
    </w:p>
    <w:p>
      <w:pPr>
        <w:spacing w:after="140" w:line="276"/>
      </w:pPr>
      <w:r>
        <w:rPr>
          <w:rFonts w:ascii="Arial" w:cs="Arial" w:eastAsia="Arial" w:hAnsi="Arial"/>
          <w:sz w:val="22"/>
          <w:szCs w:val="22"/>
        </w:rPr>
        <w:t xml:space="preserve">Revenue splits between product and service, and the mix is stable enough to be structural rather than incidental:</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2200"/>
        <w:gridCol w:w="1200"/>
        <w:gridCol w:w="1200"/>
        <w:gridCol w:w="1200"/>
        <w:gridCol w:w="1200"/>
        <w:gridCol w:w="1200"/>
        <w:gridCol w:w="1160"/>
      </w:tblGrid>
      <w:tr>
        <w:trPr>
          <w:tblHeader/>
        </w:trPr>
        <w:tc>
          <w:tcPr>
            <w:tcW w:type="dxa" w:w="220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$m</w:t>
            </w:r>
          </w:p>
        </w:tc>
        <w:tc>
          <w:tcPr>
            <w:tcW w:type="dxa" w:w="12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FY2022</w:t>
            </w:r>
          </w:p>
        </w:tc>
        <w:tc>
          <w:tcPr>
            <w:tcW w:type="dxa" w:w="12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FY2023</w:t>
            </w:r>
          </w:p>
        </w:tc>
        <w:tc>
          <w:tcPr>
            <w:tcW w:type="dxa" w:w="12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FY2024</w:t>
            </w:r>
          </w:p>
        </w:tc>
        <w:tc>
          <w:tcPr>
            <w:tcW w:type="dxa" w:w="12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FY2025</w:t>
            </w:r>
          </w:p>
        </w:tc>
        <w:tc>
          <w:tcPr>
            <w:tcW w:type="dxa" w:w="12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FY2026</w:t>
            </w:r>
          </w:p>
        </w:tc>
        <w:tc>
          <w:tcPr>
            <w:tcW w:type="dxa" w:w="116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FY26 y/y</w:t>
            </w:r>
          </w:p>
        </w:tc>
      </w:tr>
      <w:tr>
        <w:trPr>
          <w:tblHeader w:val="false"/>
        </w:trPr>
        <w:tc>
          <w:tcPr>
            <w:tcW w:type="dxa" w:w="22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Product revenue</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7,301</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8,379</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7,483</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9,473</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10,454</w:t>
            </w:r>
          </w:p>
        </w:tc>
        <w:tc>
          <w:tcPr>
            <w:tcW w:type="dxa" w:w="11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+10%</w:t>
            </w:r>
          </w:p>
        </w:tc>
      </w:tr>
      <w:tr>
        <w:trPr>
          <w:tblHeader w:val="false"/>
        </w:trPr>
        <w:tc>
          <w:tcPr>
            <w:tcW w:type="dxa" w:w="22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Service revenue</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1,910</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2,117</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2,330</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2,683</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3,126</w:t>
            </w:r>
          </w:p>
        </w:tc>
        <w:tc>
          <w:tcPr>
            <w:tcW w:type="dxa" w:w="11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+16%</w:t>
            </w:r>
          </w:p>
        </w:tc>
      </w:tr>
      <w:tr>
        <w:trPr>
          <w:tblHeader w:val="false"/>
        </w:trPr>
        <w:tc>
          <w:tcPr>
            <w:tcW w:type="dxa" w:w="220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Service % of total</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20.7%</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20.2%</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23.7%</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22.1%</w:t>
            </w:r>
          </w:p>
        </w:tc>
        <w:tc>
          <w:tcPr>
            <w:tcW w:type="dxa" w:w="12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23.0%</w:t>
            </w:r>
          </w:p>
        </w:tc>
        <w:tc>
          <w:tcPr>
            <w:tcW w:type="dxa" w:w="11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w:t>
            </w:r>
          </w:p>
        </w:tc>
      </w:tr>
    </w:tbl>
    <w:p>
      <w:pPr>
        <w:spacing w:after="200" w:before="100" w:line="250"/>
      </w:pPr>
      <w:r>
        <w:rPr>
          <w:rFonts w:ascii="Arial" w:cs="Arial" w:eastAsia="Arial" w:hAnsi="Arial"/>
          <w:i/>
          <w:iCs/>
          <w:color w:val="595959"/>
          <w:sz w:val="17"/>
          <w:szCs w:val="17"/>
        </w:rPr>
        <w:t xml:space="preserve">Source: FY2022, FY2024 and FY2026 Forms 10-K, Consolidated Statements of Operations. Percentages computed.</w:t>
      </w:r>
    </w:p>
    <w:p>
      <w:pPr>
        <w:spacing w:after="140" w:line="276"/>
      </w:pPr>
      <w:r>
        <w:rPr>
          <w:rFonts w:ascii="Arial" w:cs="Arial" w:eastAsia="Arial" w:hAnsi="Arial"/>
          <w:sz w:val="22"/>
          <w:szCs w:val="22"/>
        </w:rPr>
        <w:t xml:space="preserve">By product line, wafer inspection is the core: $6.63bn, or 49% of FY2026 revenue, with patterning (reticle and overlay) a further 20% and services 23% (FY2026 10-K, Note 17). The FY2026 10-K names inspection specifically as a concentration risk — "we derive a substantial percentage of our revenues from sales of inspection products" — which is the honest reading of a business where half of revenue sits in one product family.</w:t>
      </w:r>
    </w:p>
    <w:p>
      <w:pPr>
        <w:spacing w:after="140" w:line="276"/>
      </w:pPr>
      <w:r>
        <w:rPr>
          <w:rFonts w:ascii="Arial" w:cs="Arial" w:eastAsia="Arial" w:hAnsi="Arial"/>
          <w:sz w:val="22"/>
          <w:szCs w:val="22"/>
        </w:rPr>
        <w:t xml:space="preserve">KLA also runs two much smaller segments outside process control: Specialty Semiconductor Process ($584m, deposition and etch tools for MEMS, RF and power devices) and PCB and Component Inspection ($750m). Their economics are different in kind, and Section 5 shows how different. In March 2024 KLA ended manufacturing of most Display products while continuing to service the installed base, taking $289m of impairments in FY2024 and a further $239m in FY2025, both in these smaller units. The exit is why PCB and Component Inspection swung from a $281m segment loss in FY2025 to a $108m profit in FY2026 — a reminder that the low-margin lines were destroying capital, not merely diluting the average.</w:t>
      </w:r>
    </w:p>
    <w:p>
      <w:r>
        <w:br w:type="page"/>
      </w:r>
    </w:p>
    <w:p>
      <w:pPr>
        <w:pStyle w:val="Heading1"/>
      </w:pPr>
      <w:r>
        <w:t xml:space="preserve">3. Industry, Competitive Position and Moat</w:t>
      </w:r>
    </w:p>
    <w:p>
      <w:pPr>
        <w:spacing w:after="140" w:line="276"/>
      </w:pPr>
      <w:r>
        <w:rPr>
          <w:rFonts w:ascii="Arial" w:cs="Arial" w:eastAsia="Arial" w:hAnsi="Arial"/>
          <w:sz w:val="22"/>
          <w:szCs w:val="22"/>
        </w:rPr>
        <w:t xml:space="preserve">Wafer fab equipment is a market of five buyers. SEMI's tally of 2025 industry capital spending puts TSMC at $40.0bn, Samsung $32.6bn, Intel $18.0bn, SK hynix $14.5bn and Micron $12.3bn — 75% of a $155.8bn total between them (SEMI, 28 May 2025). Equipment vendors therefore sell into a structurally concentrated customer base, and any vendor's revenue is a function of a handful of capital budgets.</w:t>
      </w:r>
    </w:p>
    <w:p>
      <w:pPr>
        <w:spacing w:after="140" w:line="276"/>
      </w:pPr>
      <w:r>
        <w:rPr>
          <w:rFonts w:ascii="Arial" w:cs="Arial" w:eastAsia="Arial" w:hAnsi="Arial"/>
          <w:sz w:val="22"/>
          <w:szCs w:val="22"/>
        </w:rPr>
        <w:t xml:space="preserve">The market those budgets feed has grown and is currently accelerating. SEMI records 2025 semiconductor equipment billings of $135.1bn, up 15%, and puts WFE at $116.9bn. Its July 2026 forecast has WFE reaching $143.9bn in 2026, up 23.1%, with DRAM equipment the fastest-growing large line at +39.0% (SEMI, 14 July 2026). The revision matters as much as the level: seven months earlier SEMI had 2026 WFE at $126.2bn (SEMI, 16 December 2025). A 14% upward revision to a year already under way is the clearest independent evidence available that AI-driven demand hit the equipment market faster than the industry itself expected.</w:t>
      </w:r>
    </w:p>
    <w:p>
      <w:pPr>
        <w:pStyle w:val="Heading2"/>
      </w:pPr>
      <w:r>
        <w:t xml:space="preserve">Where process control sits, and how concentrated it is</w:t>
      </w:r>
    </w:p>
    <w:p>
      <w:pPr>
        <w:spacing w:after="140" w:line="276"/>
      </w:pPr>
      <w:r>
        <w:rPr>
          <w:rFonts w:ascii="Arial" w:cs="Arial" w:eastAsia="Arial" w:hAnsi="Arial"/>
          <w:sz w:val="22"/>
          <w:szCs w:val="22"/>
        </w:rPr>
        <w:t xml:space="preserve">No independent publisher sizes the process control sub-segment. SEMI's public segmentation stops at wafer processing, other front-end, test and assembly. The widely cited figure — KLA at 58% of process control in 2025, roughly seven times its nearest competitor — is KLA citing Gartner (KLA Q3 FY26 slides, April 2026), and should be read as company-cited third-party data rather than published industry data.</w:t>
      </w:r>
    </w:p>
    <w:p>
      <w:pPr>
        <w:spacing w:after="140" w:line="276"/>
      </w:pPr>
      <w:r>
        <w:rPr>
          <w:rFonts w:ascii="Arial" w:cs="Arial" w:eastAsia="Arial" w:hAnsi="Arial"/>
          <w:sz w:val="22"/>
          <w:szCs w:val="22"/>
        </w:rPr>
        <w:t xml:space="preserve">It can, however, be bounded from competitors' own filings. Every identifiable process control competitor's most recent full-year revenue sums to roughly $4.2bn — Lasertec ~$1.5bn, Onto Innovation $1.01bn, Nova $0.88bn, Camtek $0.50bn, Skyverse ~$0.29bn — against KLA's $12.24bn Semiconductor Process Control segment. That arithmetic alone puts KLA at 74% of identifiable revenue, an upper bound, since Applied Materials does not break out its process control line, ASML discloses only the change in its metrology and inspection revenue and not the level, and Hitachi High-Tech buries CD-SEM inside a ¥821.7bn division. If the true share is 58%, the implied market is around $21bn and those three undisclosed businesses account for roughly $4.5bn between them — internally consistent. The precise 58% cannot be verified; the order of magnitude of the dominance can, and no disclosed competitor comes within eight times of KLA.</w:t>
      </w:r>
    </w:p>
    <w:p>
      <w:pPr>
        <w:spacing w:after="140" w:line="276"/>
      </w:pPr>
      <w:r>
        <w:rPr>
          <w:rFonts w:ascii="Arial" w:cs="Arial" w:eastAsia="Arial" w:hAnsi="Arial"/>
          <w:sz w:val="22"/>
          <w:szCs w:val="22"/>
        </w:rPr>
        <w:t xml:space="preserve">Set against the rest of WFE, that leaves process control in the second tier of concentration. ASML is the sole supplier of EUV lithography anywhere — 48 EUV units and 4 High-NA systems shipped in 2025 (ASML 2025 Annual Report). Tokyo Electron states share above 90% in coater/developer. Deposition and etch, by contrast, has three credible large suppliers competing across overlapping steps. Process control is more concentrated than deposition and etch, less than lithography or track.</w:t>
      </w:r>
    </w:p>
    <w:p>
      <w:pPr>
        <w:pStyle w:val="Heading2"/>
      </w:pPr>
      <w:r>
        <w:t xml:space="preserve">What the peer margins reveal</w:t>
      </w:r>
    </w:p>
    <w:p>
      <w:pPr>
        <w:spacing w:after="140" w:line="276"/>
      </w:pPr>
      <w:r>
        <w:rPr>
          <w:rFonts w:ascii="Arial" w:cs="Arial" w:eastAsia="Arial" w:hAnsi="Arial"/>
          <w:sz w:val="22"/>
          <w:szCs w:val="22"/>
        </w:rPr>
        <w:t xml:space="preserve">The industry contains a natural experiment: several companies doing substantially the same thing at very different scales. Their reported margins line up in a way that identifies the moat precisely.</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2500"/>
        <w:gridCol w:w="1500"/>
        <w:gridCol w:w="1500"/>
        <w:gridCol w:w="1500"/>
        <w:gridCol w:w="1180"/>
        <w:gridCol w:w="1180"/>
      </w:tblGrid>
      <w:tr>
        <w:trPr>
          <w:tblHeader/>
        </w:trPr>
        <w:tc>
          <w:tcPr>
            <w:tcW w:type="dxa" w:w="250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Company</w:t>
            </w:r>
          </w:p>
        </w:tc>
        <w:tc>
          <w:tcPr>
            <w:tcW w:type="dxa" w:w="15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Revenue</w:t>
            </w:r>
          </w:p>
        </w:tc>
        <w:tc>
          <w:tcPr>
            <w:tcW w:type="dxa" w:w="15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Gross margin</w:t>
            </w:r>
          </w:p>
        </w:tc>
        <w:tc>
          <w:tcPr>
            <w:tcW w:type="dxa" w:w="15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Operating margin</w:t>
            </w:r>
          </w:p>
        </w:tc>
        <w:tc>
          <w:tcPr>
            <w:tcW w:type="dxa" w:w="118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R&amp;D $m</w:t>
            </w:r>
          </w:p>
        </w:tc>
        <w:tc>
          <w:tcPr>
            <w:tcW w:type="dxa" w:w="118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R&amp;D % rev</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KLA (FY2026)</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$13.58bn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61.3%</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41.7%</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1,532</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11.3%</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Lasertec (FY2026)</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~$1.5bn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59.2%</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45.7%</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n/d</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n/d</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ASML (CY2025)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€32.7bn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52.8%</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34.6%</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4,700</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14.4%</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Lam Research (FY2026)</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$23.23bn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50.5%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35.3%</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2,370</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10.2%</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Applied Materials (FY2025)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$28.37bn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48.7%</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29.2%</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3,575</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12.6%</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Nova (CY2025)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$0.88bn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57.4%</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28.8%</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143</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16.3%</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Camtek (CY2025)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$0.50bn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50.5%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25.8%</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n/d</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n/d</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Onto Innovation (CY2025)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$1.01bn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49.7%</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13.2%</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132</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13.1%</w:t>
            </w:r>
          </w:p>
        </w:tc>
      </w:tr>
      <w:tr>
        <w:trPr>
          <w:tblHeader w:val="false"/>
        </w:trPr>
        <w:tc>
          <w:tcPr>
            <w:tcW w:type="dxa" w:w="25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Skyverse (CY2025)</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~$0.29bn</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n/d</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negative ex-items</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~91</w:t>
            </w:r>
          </w:p>
        </w:tc>
        <w:tc>
          <w:tcPr>
            <w:tcW w:type="dxa" w:w="118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32.0%</w:t>
            </w:r>
          </w:p>
        </w:tc>
      </w:tr>
    </w:tbl>
    <w:p>
      <w:pPr>
        <w:spacing w:after="200" w:before="100" w:line="250"/>
      </w:pPr>
      <w:r>
        <w:rPr>
          <w:rFonts w:ascii="Arial" w:cs="Arial" w:eastAsia="Arial" w:hAnsi="Arial"/>
          <w:i/>
          <w:iCs/>
          <w:color w:val="595959"/>
          <w:sz w:val="17"/>
          <w:szCs w:val="17"/>
        </w:rPr>
        <w:t xml:space="preserve">Sources: each company's most recent results release or annual report — KLA FQ4 FY2026 release (28 Jul 2026); Lasertec FY2026 tanshin (6 Aug 2026); ASML 2025 Annual Report; Lam FY2026 release (29 Jul 2026); Applied Materials FY2025 release (13 Nov 2025); Nova, Camtek and Onto FY2025 releases (Feb 2026); Skyverse 2025 Annual Report (24 Apr 2026). Operating margins computed where not presented as a subtotal; R&amp;D dollars for Lam, Applied Materials and ASML derived from reported revenue and reported R&amp;D intensity.</w:t>
      </w:r>
    </w:p>
    <w:p>
      <w:pPr>
        <w:spacing w:after="140" w:line="276"/>
      </w:pPr>
      <w:r>
        <w:rPr>
          <w:rFonts w:ascii="Arial" w:cs="Arial" w:eastAsia="Arial" w:hAnsi="Arial"/>
          <w:sz w:val="22"/>
          <w:szCs w:val="22"/>
        </w:rPr>
        <w:t xml:space="preserve">Two things fall out of that table, and the second is the one that matters. First, KLA's gross margin is the highest in wafer fab equipment, above even ASML's, because process control tools carry unusually little bought-in material relative to their selling price. Second, and decisively: being in process control is not itself sufficient. Onto Innovation, the closest pure-play comparator, earns a 13.2% operating margin on essentially the same product category — a third of KLA's — and its margin fell from 19.0% the year before, in a year when its revenue still grew.</w:t>
      </w:r>
    </w:p>
    <w:p>
      <w:pPr>
        <w:spacing w:after="140" w:line="276"/>
      </w:pPr>
      <w:r>
        <w:rPr>
          <w:rFonts w:ascii="Arial" w:cs="Arial" w:eastAsia="Arial" w:hAnsi="Arial"/>
          <w:sz w:val="22"/>
          <w:szCs w:val="22"/>
        </w:rPr>
        <w:t xml:space="preserve">The mechanism is that process control is a fixed-cost business whose fixed cost is R&amp;D, and the fixed cost must be carried whatever the revenue base. KLA spends $1.53bn a year on R&amp;D, more than the combined revenue of Nova and Camtek. Onto must spend 13.1% of revenue and Nova 16.3% — higher intensity than KLA's 11.3% — to fund an absolute budget roughly a tenth the size. Every node transition demands the same roadmap work from all of them; only one of them can spread it over $13.6bn of revenue. That is the whole margin gap, and it is self-reinforcing, because the largest R&amp;D budget is what wins the next generation of sockets.</w:t>
      </w:r>
    </w:p>
    <w:p>
      <w:pPr>
        <w:pStyle w:val="Heading2"/>
      </w:pPr>
      <w:r>
        <w:t xml:space="preserve">What lock-in is worth, and where it does not reach</w:t>
      </w:r>
    </w:p>
    <w:p>
      <w:pPr>
        <w:spacing w:after="140" w:line="276"/>
      </w:pPr>
      <w:r>
        <w:rPr>
          <w:rFonts w:ascii="Arial" w:cs="Arial" w:eastAsia="Arial" w:hAnsi="Arial"/>
          <w:sz w:val="22"/>
          <w:szCs w:val="22"/>
        </w:rPr>
        <w:t xml:space="preserve">KLA's filings claim that once a manufacturer selects a supplier's process control equipment it relies on that equipment for that production line for an extended period. The claim is corroborated from an unusual direction — a competitor's SEC filing. Nova's Form 20-F states that "once a manufacturer has selected a particular vendor's capital equipment, we believe that the manufacturer generally relies upon that equipment for the specific production line application," and that if a customer picks a rival's tool Nova expects "difficulty in selling our solution to that customer for a significant period of time." A firm with every commercial incentive to describe the market as contestable describes the same lock-in the incumbent claims.</w:t>
      </w:r>
    </w:p>
    <w:p>
      <w:pPr>
        <w:spacing w:after="140" w:line="276"/>
      </w:pPr>
      <w:r>
        <w:rPr>
          <w:rFonts w:ascii="Arial" w:cs="Arial" w:eastAsia="Arial" w:hAnsi="Arial"/>
          <w:sz w:val="22"/>
          <w:szCs w:val="22"/>
        </w:rPr>
        <w:t xml:space="preserve">The consequence is that each socket won is a decade of product and service revenue, and each socket lost is lost for the life of that line. But the lock-in binds per line and per application, which means new fabs and genuinely new applications remain open. That is exactly where the smaller firms are winning: Onto disclosed a $240m volume purchase agreement with a leading HBM manufacturer for 2D inspection and 3D bump metrology running through 2027, and Camtek and Nova both grew on advanced-packaging demand in 2025. Lock-in protects the installed base; it does not prevent share loss in emerging segments.</w:t>
      </w:r>
    </w:p>
    <w:p>
      <w:pPr>
        <w:pStyle w:val="Heading2"/>
      </w:pPr>
      <w:r>
        <w:t xml:space="preserve">The Chinese entrants</w:t>
      </w:r>
    </w:p>
    <w:p>
      <w:pPr>
        <w:spacing w:after="140" w:line="276"/>
      </w:pPr>
      <w:r>
        <w:rPr>
          <w:rFonts w:ascii="Arial" w:cs="Arial" w:eastAsia="Arial" w:hAnsi="Arial"/>
          <w:sz w:val="22"/>
          <w:szCs w:val="22"/>
        </w:rPr>
        <w:t xml:space="preserve">The substitution question is best answered with the leading domestic challenger's own audited numbers. Skyverse Technology reported 2025 revenue of RMB 2.05bn (about $286m), up 48.75%, with headline net income of RMB 58.7m that becomes a loss of RMB 123m excluding non-recurring items, on R&amp;D at 31.95% of revenue (Skyverse 2025 Annual Report, 24 April 2026). Its own annual report describes coverage at "28nm and below." Dongfang Jingyuan's CD-SEM claims 0.25nm repeatability, which it states meets 28nm production requirements.</w:t>
      </w:r>
    </w:p>
    <w:p>
      <w:pPr>
        <w:spacing w:after="140" w:line="276"/>
      </w:pPr>
      <w:r>
        <w:rPr>
          <w:rFonts w:ascii="Arial" w:cs="Arial" w:eastAsia="Arial" w:hAnsi="Arial"/>
          <w:sz w:val="22"/>
          <w:szCs w:val="22"/>
        </w:rPr>
        <w:t xml:space="preserve">Summing Skyverse with the semiconductor division of Jingce Electronics (~$184m) puts identifiable Chinese domestic process control under $500m against KLA's $12.24bn — roughly 4%, at 28nm rather than the leading edge, and unprofitable on operations while spending three times KLA's R&amp;D intensity. The physics is clearly reproducible; the scale is not, yet. The realistic reading is that domestic substitution is a credible multi-year threat to China's roughly $49bn mature-node equipment market and is not currently a threat at the leading edge at all. Section 7 sets out why the regulatory structure makes that threat compound rather than stay static.</w:t>
      </w:r>
    </w:p>
    <w:p>
      <w:pPr>
        <w:pStyle w:val="Heading2"/>
      </w:pPr>
      <w:r>
        <w:t xml:space="preserve">What kind of company wins here</w:t>
      </w:r>
    </w:p>
    <w:p>
      <w:pPr>
        <w:spacing w:after="140" w:line="276"/>
      </w:pPr>
      <w:r>
        <w:rPr>
          <w:rFonts w:ascii="Arial" w:cs="Arial" w:eastAsia="Arial" w:hAnsi="Arial"/>
          <w:sz w:val="22"/>
          <w:szCs w:val="22"/>
        </w:rPr>
        <w:t xml:space="preserve">Operating margin in this industry falls monotonically with scale, and R&amp;D intensity rises monotonically as scale falls. That is the signature of a business where the winner is whoever can spend the largest absolute R&amp;D number, amortise it over the largest installed base, and convert that base into a service annuity that funds the roadmap through the trough. Breadth across inspection, review and metrology helps, because customers consolidate purchases with one vendor. Presence on the customer's R&amp;D and pilot lines helps more, because process control is bought during development, before capacity exists — which partly decouples demand from capacity capex.</w:t>
      </w:r>
    </w:p>
    <w:p>
      <w:pPr>
        <w:spacing w:after="140" w:line="276"/>
      </w:pPr>
      <w:r>
        <w:rPr>
          <w:rFonts w:ascii="Arial" w:cs="Arial" w:eastAsia="Arial" w:hAnsi="Arial"/>
          <w:sz w:val="22"/>
          <w:szCs w:val="22"/>
        </w:rPr>
        <w:t xml:space="preserve">KLA is that kind of company, and on the disclosed evidence it is the only process control firm that is. Lasertec earns a higher operating margin but inside one narrow sub-segment, and its FY2026 revenue fell 8.3% — the cost of narrow scope. The honest qualification is that KLA's advantage is not unique to process control as a category: it is the standard WFE playbook of dominant share in a technically deep segment, executed in a segment that happens to have unusually low material content.</w:t>
      </w:r>
    </w:p>
    <w:p>
      <w:r>
        <w:br w:type="page"/>
      </w:r>
    </w:p>
    <w:p>
      <w:pPr>
        <w:pStyle w:val="Heading1"/>
      </w:pPr>
      <w:r>
        <w:t xml:space="preserve">4. Growth Engine</w:t>
      </w:r>
    </w:p>
    <w:p>
      <w:pPr>
        <w:spacing w:after="140" w:line="276"/>
      </w:pPr>
      <w:r>
        <w:rPr>
          <w:rFonts w:ascii="Arial" w:cs="Arial" w:eastAsia="Arial" w:hAnsi="Arial"/>
          <w:sz w:val="22"/>
          <w:szCs w:val="22"/>
        </w:rPr>
        <w:t xml:space="preserve">KLA grew revenue 11.7% in FY2026 to $13.58bn, and 38% over the two years from the FY2024 trough. The first thing to establish about that growth is that all of it is organic. KLA made no acquisitions in FY2025 or FY2026 and spent $3.7m on acquisitions in FY2024 (FY2026 10-K, Consolidated Statements of Cash Flows). Reported growth and organic growth are the same number for the entire recent period, and in fact reported growth understates the underlying rate, because the FY2024 Display exit removed revenue from the base.</w:t>
      </w:r>
    </w:p>
    <w:p>
      <w:pPr>
        <w:spacing w:after="140" w:line="276"/>
      </w:pPr>
      <w:r>
        <w:rPr>
          <w:rFonts w:ascii="Arial" w:cs="Arial" w:eastAsia="Arial" w:hAnsi="Arial"/>
          <w:sz w:val="22"/>
          <w:szCs w:val="22"/>
        </w:rPr>
        <w:t xml:space="preserve">That has not always been true, and the contrast is instructive. In FY2019 KLA reported revenue growth of 13.2%. Its own unaudited pro forma disclosure — treating the Orbotech acquisition, which closed on 20 February 2019 for $3.26bn, as if it had been owned in both years — puts like-for-like growth at 1.5%, on pro forma revenue of $5,155m against $5,080m (FY2019 10-K, Business Combinations). Orbotech contributed $389m of revenue and a $62m net loss in its four months of FY2019 ownership. A reader taking the headline at face value would have concluded KLA sailed through the 2019 downcycle; it was, in substance, flat.</w:t>
      </w:r>
    </w:p>
    <w:p>
      <w:pPr>
        <w:spacing w:after="140" w:line="276"/>
      </w:pPr>
      <w:r>
        <w:rPr>
          <w:rFonts w:ascii="Arial" w:cs="Arial" w:eastAsia="Arial" w:hAnsi="Arial"/>
          <w:sz w:val="22"/>
          <w:szCs w:val="22"/>
        </w:rPr>
        <w:t xml:space="preserve">The quarterly releases show how completely the acquisition masked that downturn. Consolidated revenue fell only 2.0% from its December 2018 peak of $1,120m to $1,097m in March 2019 — but Orbotech closed on 20 February and sits inside the trough quarter. Strip it out by reading the Semiconductor Process Control segment alone, and revenue fell from $1,094m to $914m, a decline of 16.4% in a single quarter (2020-05-05 release, segment table). The legacy business contracted eight times more than the consolidated line suggests. This is the clearest available warning that KLA's reported revenue and its underlying revenue can diverge sharply, and that the divergence is largest exactly when it matters most.</w:t>
      </w:r>
    </w:p>
    <w:p>
      <w:pPr>
        <w:pStyle w:val="Heading2"/>
      </w:pPr>
      <w:r>
        <w:t xml:space="preserve">The drivers, ranked</w:t>
      </w:r>
    </w:p>
    <w:p>
      <w:pPr>
        <w:pStyle w:val="ListParagraph"/>
        <w:numPr>
          <w:ilvl w:val="0"/>
          <w:numId w:val="2"/>
        </w:numPr>
        <w:spacing w:after="100" w:line="276"/>
      </w:pPr>
      <w:r>
        <w:rPr>
          <w:rFonts w:ascii="Arial" w:cs="Arial" w:eastAsia="Arial" w:hAnsi="Arial"/>
          <w:b/>
          <w:bCs/>
          <w:sz w:val="22"/>
          <w:szCs w:val="22"/>
        </w:rPr>
        <w:t xml:space="preserve">Rising process control content per wafer at each node transition — structural. </w:t>
      </w:r>
      <w:r>
        <w:rPr>
          <w:rFonts w:ascii="Arial" w:cs="Arial" w:eastAsia="Arial" w:hAnsi="Arial"/>
          <w:sz w:val="22"/>
          <w:szCs w:val="22"/>
        </w:rPr>
        <w:t xml:space="preserve">Gate-all-around transistors replace a fin with stacked nanosheets, adding critical-dimension and thickness measurements that did not previously exist; backside power delivery adds a second interconnect stack on the wafer's reverse side, roughly duplicating the metal-layer inspection burden. TSMC put N2 into high-volume manufacturing in Q4 2025 and has A16, its backside-power node, on track for the second half of 2026 (TSMC Q4 2025 transcript). Nova independently reports "record sales for Gate-All-Around" processes, confirming that the transition itself drives metrology demand. The mechanism is well evidenced; the dollar uplift per wafer is not published by anyone, and is marked (unknown).</w:t>
      </w:r>
    </w:p>
    <w:p>
      <w:pPr>
        <w:pStyle w:val="ListParagraph"/>
        <w:numPr>
          <w:ilvl w:val="0"/>
          <w:numId w:val="2"/>
        </w:numPr>
        <w:spacing w:after="100" w:line="276"/>
      </w:pPr>
      <w:r>
        <w:rPr>
          <w:rFonts w:ascii="Arial" w:cs="Arial" w:eastAsia="Arial" w:hAnsi="Arial"/>
          <w:b/>
          <w:bCs/>
          <w:sz w:val="22"/>
          <w:szCs w:val="22"/>
        </w:rPr>
        <w:t xml:space="preserve">Leading-edge foundry/logic and DRAM capital spending — cyclical. </w:t>
      </w:r>
      <w:r>
        <w:rPr>
          <w:rFonts w:ascii="Arial" w:cs="Arial" w:eastAsia="Arial" w:hAnsi="Arial"/>
          <w:sz w:val="22"/>
          <w:szCs w:val="22"/>
        </w:rPr>
        <w:t xml:space="preserve">TSMC guided 2026 capex to $52–56bn from $40.9bn in 2025, with 70–80% going to advanced process technologies. SEMI has DRAM equipment growing 39.0% in 2026 to $38.8bn. This is the largest single contributor to FY2026 growth and the least durable: it is a capital cycle, and KLA's own 10-K says so — "while AI adoption is likely to continue and grow, the sustainability of such elevated investments cannot be assured."</w:t>
      </w:r>
    </w:p>
    <w:p>
      <w:pPr>
        <w:pStyle w:val="ListParagraph"/>
        <w:numPr>
          <w:ilvl w:val="0"/>
          <w:numId w:val="2"/>
        </w:numPr>
        <w:spacing w:after="100" w:line="276"/>
      </w:pPr>
      <w:r>
        <w:rPr>
          <w:rFonts w:ascii="Arial" w:cs="Arial" w:eastAsia="Arial" w:hAnsi="Arial"/>
          <w:b/>
          <w:bCs/>
          <w:sz w:val="22"/>
          <w:szCs w:val="22"/>
        </w:rPr>
        <w:t xml:space="preserve">Installed-base growth compounding into service — structural. </w:t>
      </w:r>
      <w:r>
        <w:rPr>
          <w:rFonts w:ascii="Arial" w:cs="Arial" w:eastAsia="Arial" w:hAnsi="Arial"/>
          <w:sz w:val="22"/>
          <w:szCs w:val="22"/>
        </w:rPr>
        <w:t xml:space="preserve">Service revenue rose 16% to $3.13bn in FY2026, and KLA attributes the increase directly to "growth in our installed base of tools." Every product sale mechanically enlarges next year's service base, so the product cycle's peaks leave a permanently higher annuity behind them. This is the one driver that ratchets.</w:t>
      </w:r>
    </w:p>
    <w:p>
      <w:pPr>
        <w:pStyle w:val="ListParagraph"/>
        <w:numPr>
          <w:ilvl w:val="0"/>
          <w:numId w:val="2"/>
        </w:numPr>
        <w:spacing w:after="100" w:line="276"/>
      </w:pPr>
      <w:r>
        <w:rPr>
          <w:rFonts w:ascii="Arial" w:cs="Arial" w:eastAsia="Arial" w:hAnsi="Arial"/>
          <w:b/>
          <w:bCs/>
          <w:sz w:val="22"/>
          <w:szCs w:val="22"/>
        </w:rPr>
        <w:t xml:space="preserve">Advanced packaging — structural, and the most contested. </w:t>
      </w:r>
      <w:r>
        <w:rPr>
          <w:rFonts w:ascii="Arial" w:cs="Arial" w:eastAsia="Arial" w:hAnsi="Arial"/>
          <w:sz w:val="22"/>
          <w:szCs w:val="22"/>
        </w:rPr>
        <w:t xml:space="preserve">HBM stacks twelve die on a logic base, so one bad die or one bad bump scraps an assembly containing eleven good ones; defect cost multiplies with stack height, which raises what a memory maker will pay to inspect every bond. KLA cites "strong customer adoption of our advanced packaging products," and its PCB and Component Inspection segment grew 21% on the same demand. It is also where competitors are winning sockets — Onto's $240m HBM agreement is in exactly this application.</w:t>
      </w:r>
    </w:p>
    <w:p>
      <w:pPr>
        <w:pStyle w:val="ListParagraph"/>
        <w:numPr>
          <w:ilvl w:val="0"/>
          <w:numId w:val="2"/>
        </w:numPr>
        <w:spacing w:after="100" w:line="276"/>
      </w:pPr>
      <w:r>
        <w:rPr>
          <w:rFonts w:ascii="Arial" w:cs="Arial" w:eastAsia="Arial" w:hAnsi="Arial"/>
          <w:b/>
          <w:bCs/>
          <w:sz w:val="22"/>
          <w:szCs w:val="22"/>
        </w:rPr>
        <w:t xml:space="preserve">Geographic mix shifting away from China — management-driven only in part. </w:t>
      </w:r>
      <w:r>
        <w:rPr>
          <w:rFonts w:ascii="Arial" w:cs="Arial" w:eastAsia="Arial" w:hAnsi="Arial"/>
          <w:sz w:val="22"/>
          <w:szCs w:val="22"/>
        </w:rPr>
        <w:t xml:space="preserve">Taiwan revenue grew 13.7% to $3.64bn, Korea 26.2% to $1.83bn on high-bandwidth memory and advanced DRAM, and North America 29.0%. China was flat in dollars. The mix shift toward leading-edge geographies is favourable for process control intensity, but it is the product of export controls as much as of commercial success.</w:t>
      </w:r>
    </w:p>
    <w:p>
      <w:pPr>
        <w:pStyle w:val="ListParagraph"/>
        <w:numPr>
          <w:ilvl w:val="0"/>
          <w:numId w:val="2"/>
        </w:numPr>
        <w:spacing w:after="100" w:line="276"/>
      </w:pPr>
      <w:r>
        <w:rPr>
          <w:rFonts w:ascii="Arial" w:cs="Arial" w:eastAsia="Arial" w:hAnsi="Arial"/>
          <w:b/>
          <w:bCs/>
          <w:sz w:val="22"/>
          <w:szCs w:val="22"/>
        </w:rPr>
        <w:t xml:space="preserve">Price — not established. </w:t>
      </w:r>
      <w:r>
        <w:rPr>
          <w:rFonts w:ascii="Arial" w:cs="Arial" w:eastAsia="Arial" w:hAnsi="Arial"/>
          <w:sz w:val="22"/>
          <w:szCs w:val="22"/>
        </w:rPr>
        <w:t xml:space="preserve">KLA discloses no pricing mechanism, no list-versus-realised price, and no volume figures, so the volume/price/mix decomposition cannot be completed from the filings. Marked NOT FOUND rather than estimated.</w:t>
      </w:r>
    </w:p>
    <w:p>
      <w:pPr>
        <w:spacing w:after="140" w:line="276"/>
      </w:pPr>
      <w:r>
        <w:rPr>
          <w:rFonts w:ascii="Arial" w:cs="Arial" w:eastAsia="Arial" w:hAnsi="Arial"/>
          <w:sz w:val="22"/>
          <w:szCs w:val="22"/>
        </w:rPr>
        <w:t xml:space="preserve">The near-term direction of all this is up: guidance for the September 2026 quarter is revenue of $4.0bn ± $200m, which at the midpoint is 22.8% above the same quarter a year earlier (FQ4 FY2026 earnings release, 28 July 2026). Section 6 sets out what the order book behind that guidance does and does not tell an investor. But that $4.0bn should not be read as a neutral forecast, for the reason below.</w:t>
      </w:r>
    </w:p>
    <w:p>
      <w:pPr>
        <w:pStyle w:val="Heading2"/>
      </w:pPr>
      <w:r>
        <w:t xml:space="preserve">How to read the guide</w:t>
      </w:r>
    </w:p>
    <w:p>
      <w:pPr>
        <w:spacing w:after="140" w:line="276"/>
      </w:pPr>
      <w:r>
        <w:rPr>
          <w:rFonts w:ascii="Arial" w:cs="Arial" w:eastAsia="Arial" w:hAnsi="Arial"/>
          <w:sz w:val="22"/>
          <w:szCs w:val="22"/>
        </w:rPr>
        <w:t xml:space="preserve">KLA publishes a revenue, gross margin and EPS guide for the coming quarter in each earnings release, and the archive now permits a direct test of what those numbers mean. Across the 24 quarters for which both a guide and the subsequent reported actual are on file, revenue landed above the guided midpoint 24 times. It landed below the midpoint zero times.</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3360"/>
        <w:gridCol w:w="1600"/>
        <w:gridCol w:w="1500"/>
        <w:gridCol w:w="1600"/>
        <w:gridCol w:w="1300"/>
      </w:tblGrid>
      <w:tr>
        <w:trPr>
          <w:tblHeader/>
        </w:trPr>
        <w:tc>
          <w:tcPr>
            <w:tcW w:type="dxa" w:w="336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Guided vs. delivered, 24 quarters</w:t>
            </w:r>
          </w:p>
        </w:tc>
        <w:tc>
          <w:tcPr>
            <w:tcW w:type="dxa" w:w="16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Above midpoint</w:t>
            </w:r>
          </w:p>
        </w:tc>
        <w:tc>
          <w:tcPr>
            <w:tcW w:type="dxa" w:w="15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At midpoint</w:t>
            </w:r>
          </w:p>
        </w:tc>
        <w:tc>
          <w:tcPr>
            <w:tcW w:type="dxa" w:w="16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Below midpoint</w:t>
            </w:r>
          </w:p>
        </w:tc>
        <w:tc>
          <w:tcPr>
            <w:tcW w:type="dxa" w:w="13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Outside range (high)</w:t>
            </w:r>
          </w:p>
        </w:tc>
      </w:tr>
      <w:tr>
        <w:trPr>
          <w:tblHeader w:val="false"/>
        </w:trPr>
        <w:tc>
          <w:tcPr>
            <w:tcW w:type="dxa" w:w="336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Total revenue</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24</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w:t>
            </w:r>
          </w:p>
        </w:tc>
        <w:tc>
          <w:tcPr>
            <w:tcW w:type="dxa" w:w="13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w:t>
            </w:r>
          </w:p>
        </w:tc>
      </w:tr>
      <w:tr>
        <w:trPr>
          <w:tblHeader w:val="false"/>
        </w:trPr>
        <w:tc>
          <w:tcPr>
            <w:tcW w:type="dxa" w:w="3360"/>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Non-GAAP diluted EPS</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w:t>
            </w:r>
          </w:p>
        </w:tc>
        <w:tc>
          <w:tcPr>
            <w:tcW w:type="dxa" w:w="15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w:t>
            </w:r>
          </w:p>
        </w:tc>
        <w:tc>
          <w:tcPr>
            <w:tcW w:type="dxa" w:w="13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w:t>
            </w:r>
          </w:p>
        </w:tc>
      </w:tr>
    </w:tbl>
    <w:p>
      <w:pPr>
        <w:spacing w:after="200" w:before="100" w:line="250"/>
      </w:pPr>
      <w:r>
        <w:rPr>
          <w:rFonts w:ascii="Arial" w:cs="Arial" w:eastAsia="Arial" w:hAnsi="Arial"/>
          <w:i/>
          <w:iCs/>
          <w:color w:val="595959"/>
          <w:sz w:val="17"/>
          <w:szCs w:val="17"/>
        </w:rPr>
        <w:t xml:space="preserve">Sources: the guidance block and reported actuals in each 8-K Exhibit 99.1 earnings release, FQ1 FY2020 and FQ2 FY2021 through FQ4 FY2026. The single at-midpoint result is FQ3 FY2024 non-GAAP EPS, which landed on $5.26 against a guided $5.26. Beats measured against the midpoint of the guided range.</w:t>
      </w:r>
    </w:p>
    <w:p>
      <w:pPr>
        <w:spacing w:after="140" w:line="276"/>
      </w:pPr>
      <w:r>
        <w:rPr>
          <w:rFonts w:ascii="Arial" w:cs="Arial" w:eastAsia="Arial" w:hAnsi="Arial"/>
          <w:sz w:val="22"/>
          <w:szCs w:val="22"/>
        </w:rPr>
        <w:t xml:space="preserve">The average revenue beat is 3.1% and the median 2.7%, against a guidance band that is roughly ±5% wide — so the typical outcome lands in the upper third of the range, quarter after quarter. Non-GAAP EPS beats average 5.8%. A distribution that tight and that one-sided is not forecasting error; it is a guide set at a level management expects to clear.</w:t>
      </w:r>
    </w:p>
    <w:p>
      <w:pPr>
        <w:spacing w:after="140" w:line="276"/>
      </w:pPr>
      <w:r>
        <w:rPr>
          <w:rFonts w:ascii="Arial" w:cs="Arial" w:eastAsia="Arial" w:hAnsi="Arial"/>
          <w:sz w:val="22"/>
          <w:szCs w:val="22"/>
        </w:rPr>
        <w:t xml:space="preserve">The behaviour holds under stress, which is what makes it informative. Through the four quarters of the FY2024 downturn the revenue beat averaged 2.9% and the non-GAAP EPS beat 7.4% — a larger earnings beat than in the recovery quarters that followed. Management guided conservatively on the way down as reliably as on the way up. The practical consequence for reading the September 2026 guide: $4.0bn is the number KLA expects to exceed, and on twenty-four quarters of precedent the realistic central case sits nearer $4.1bn. The precedent is a behavioural regularity, not a commitment, and it would break the first time demand turned faster than the quarter it was guided in.</w:t>
      </w:r>
    </w:p>
    <w:p>
      <w:pPr>
        <w:spacing w:after="140" w:line="276"/>
      </w:pPr>
      <w:r>
        <w:rPr>
          <w:rFonts w:ascii="Arial" w:cs="Arial" w:eastAsia="Arial" w:hAnsi="Arial"/>
          <w:sz w:val="22"/>
          <w:szCs w:val="22"/>
        </w:rPr>
        <w:t xml:space="preserve">Two qualifications belong with that record. The pattern is only testable where guidance exists in the releases, and KLA did not print a numeric guide in the earnings release itself until October 2020 — so the FY2017 to FY2020 quarters, including the whole 2019 downcycle, cannot be scored from these documents at all. And on two occasions the guide being beaten had already been revised: the March 2019 quarter finished at the upper end of what the release calls "updated" guidance, and the March 2024 quarter is described as above "adjusted" guidance whose revised figures and rationale appear in none of the releases. Measured against the original January 2024 guide, that quarter is the one that landed exactly on the midpoint.</w:t>
      </w:r>
    </w:p>
    <w:p>
      <w:pPr>
        <w:spacing w:after="140" w:line="276"/>
      </w:pPr>
      <w:r>
        <w:rPr>
          <w:rFonts w:ascii="Arial" w:cs="Arial" w:eastAsia="Arial" w:hAnsi="Arial"/>
          <w:sz w:val="22"/>
          <w:szCs w:val="22"/>
        </w:rPr>
        <w:t xml:space="preserve">One counterweight on management's self-description. The FQ1 FY2023 release states that revenue finished "above the respective guidance ranges." Revenue was $2,724.4m against a guided top end of $2,725m — inside the range by $0.6m. The EPS claims in the same sentence are correct. It is a small thing on a $2.7bn quarter, but it is the company describing a result marginally more favourably than the arithmetic supports.</w:t>
      </w:r>
    </w:p>
    <w:p>
      <w:r>
        <w:br w:type="page"/>
      </w:r>
    </w:p>
    <w:p>
      <w:pPr>
        <w:pStyle w:val="Heading1"/>
      </w:pPr>
      <w:r>
        <w:t xml:space="preserve">5. Margin, Cash and Capital Allocation</w:t>
      </w:r>
    </w:p>
    <w:p>
      <w:pPr>
        <w:spacing w:after="140" w:line="276"/>
      </w:pPr>
      <w:r>
        <w:rPr>
          <w:rFonts w:ascii="Arial" w:cs="Arial" w:eastAsia="Arial" w:hAnsi="Arial"/>
          <w:sz w:val="22"/>
          <w:szCs w:val="22"/>
        </w:rPr>
        <w:t xml:space="preserve">KLA's gross margin was 61.3% in FY2026 and its operating margin 41.7%, both the highest in the seven years for which the filings give a comparable series. Neither is a cyclical print that reverts; the trend is secular. Gross margin has run 57.8, 59.9, 61.0, 59.8, 60.0, 60.9, 61.3 across FY2020 to FY2026, and operating margin 25.9, 36.0, 39.7, 38.1, 34.1, 39.3, 41.7. The FY2026 operating margin exceeds the prior peak of 39.7% in FY2022 by 200 basis points.</w:t>
      </w:r>
    </w:p>
    <w:p>
      <w:pPr>
        <w:spacing w:after="140" w:line="276"/>
      </w:pPr>
      <w:r>
        <w:rPr>
          <w:rFonts w:ascii="Arial" w:cs="Arial" w:eastAsia="Arial" w:hAnsi="Arial"/>
          <w:sz w:val="22"/>
          <w:szCs w:val="22"/>
        </w:rPr>
        <w:t xml:space="preserve">The margin bridge KLA gives for FY2025 to FY2026 is unusually plain: 60.9% plus 0.5 points of revenue volume, minus 0.2 of mix, plus 0.2 of manufacturing labour and overhead efficiency, minus 0.1 of other service and manufacturing cost — the last of which included higher installation and warranty cost and "increased costs due to tariffs." In other words the gross margin gain came from operating leverage on a larger volume, not from price. Below the gross line, R&amp;D at 11.3% of revenue and SG&amp;A at 8.3% both fell as a percentage even as R&amp;D dollars rose 13%, which is where most of the 240 basis points of operating margin expansion came from.</w:t>
      </w:r>
    </w:p>
    <w:p>
      <w:pPr>
        <w:pStyle w:val="Heading2"/>
      </w:pPr>
      <w:r>
        <w:t xml:space="preserve">Where the profit actually is</w:t>
      </w:r>
    </w:p>
    <w:p>
      <w:pPr>
        <w:spacing w:after="140" w:line="276"/>
      </w:pPr>
      <w:r>
        <w:rPr>
          <w:rFonts w:ascii="Arial" w:cs="Arial" w:eastAsia="Arial" w:hAnsi="Arial"/>
          <w:sz w:val="22"/>
          <w:szCs w:val="22"/>
        </w:rPr>
        <w:t xml:space="preserve">The segment disclosure makes the concentration of profit starker than the concentration of revenue:</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3000"/>
        <w:gridCol w:w="1600"/>
        <w:gridCol w:w="1600"/>
        <w:gridCol w:w="1600"/>
        <w:gridCol w:w="1560"/>
      </w:tblGrid>
      <w:tr>
        <w:trPr>
          <w:tblHeader/>
        </w:trPr>
        <w:tc>
          <w:tcPr>
            <w:tcW w:type="dxa" w:w="300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FY2026 segment</w:t>
            </w:r>
          </w:p>
        </w:tc>
        <w:tc>
          <w:tcPr>
            <w:tcW w:type="dxa" w:w="16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Revenue $m</w:t>
            </w:r>
          </w:p>
        </w:tc>
        <w:tc>
          <w:tcPr>
            <w:tcW w:type="dxa" w:w="16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 of revenue</w:t>
            </w:r>
          </w:p>
        </w:tc>
        <w:tc>
          <w:tcPr>
            <w:tcW w:type="dxa" w:w="16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Segment profit $m</w:t>
            </w:r>
          </w:p>
        </w:tc>
        <w:tc>
          <w:tcPr>
            <w:tcW w:type="dxa" w:w="156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Segment margin</w:t>
            </w:r>
          </w:p>
        </w:tc>
      </w:tr>
      <w:tr>
        <w:trPr>
          <w:tblHeader w:val="false"/>
        </w:trPr>
        <w:tc>
          <w:tcPr>
            <w:tcW w:type="dxa" w:w="30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Semiconductor Process Control</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12,245</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90.2%</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5,483</w:t>
            </w:r>
          </w:p>
        </w:tc>
        <w:tc>
          <w:tcPr>
            <w:tcW w:type="dxa" w:w="15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44.8%</w:t>
            </w:r>
          </w:p>
        </w:tc>
      </w:tr>
      <w:tr>
        <w:trPr>
          <w:tblHeader w:val="false"/>
        </w:trPr>
        <w:tc>
          <w:tcPr>
            <w:tcW w:type="dxa" w:w="30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Specialty Semiconductor Process</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584</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4.3%</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65</w:t>
            </w:r>
          </w:p>
        </w:tc>
        <w:tc>
          <w:tcPr>
            <w:tcW w:type="dxa" w:w="15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11.1%</w:t>
            </w:r>
          </w:p>
        </w:tc>
      </w:tr>
      <w:tr>
        <w:trPr>
          <w:tblHeader w:val="false"/>
        </w:trPr>
        <w:tc>
          <w:tcPr>
            <w:tcW w:type="dxa" w:w="30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PCB and Component Inspection</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750</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5.5%</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108</w:t>
            </w:r>
          </w:p>
        </w:tc>
        <w:tc>
          <w:tcPr>
            <w:tcW w:type="dxa" w:w="15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14.4%</w:t>
            </w:r>
          </w:p>
        </w:tc>
      </w:tr>
      <w:tr>
        <w:trPr>
          <w:tblHeader w:val="false"/>
        </w:trPr>
        <w:tc>
          <w:tcPr>
            <w:tcW w:type="dxa" w:w="30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Total</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13,579</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100%</w:t>
            </w:r>
          </w:p>
        </w:tc>
        <w:tc>
          <w:tcPr>
            <w:tcW w:type="dxa" w:w="16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5,655</w:t>
            </w:r>
          </w:p>
        </w:tc>
        <w:tc>
          <w:tcPr>
            <w:tcW w:type="dxa" w:w="15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w:t>
            </w:r>
          </w:p>
        </w:tc>
      </w:tr>
    </w:tbl>
    <w:p>
      <w:pPr>
        <w:spacing w:after="200" w:before="100" w:line="250"/>
      </w:pPr>
      <w:r>
        <w:rPr>
          <w:rFonts w:ascii="Arial" w:cs="Arial" w:eastAsia="Arial" w:hAnsi="Arial"/>
          <w:i/>
          <w:iCs/>
          <w:color w:val="595959"/>
          <w:sz w:val="17"/>
          <w:szCs w:val="17"/>
        </w:rPr>
        <w:t xml:space="preserve">Source: FY2026 10-K, Note 17. Segment profit excludes interest, other income, restructuring, FX and corporate costs. Segment margins computed.</w:t>
      </w:r>
    </w:p>
    <w:p>
      <w:pPr>
        <w:spacing w:after="140" w:line="276"/>
      </w:pPr>
      <w:r>
        <w:rPr>
          <w:rFonts w:ascii="Arial" w:cs="Arial" w:eastAsia="Arial" w:hAnsi="Arial"/>
          <w:sz w:val="22"/>
          <w:szCs w:val="22"/>
        </w:rPr>
        <w:t xml:space="preserve">Process control is 90.2% of revenue and 96.9% of segment profit. The two smaller segments together contribute 9.8% of revenue and 3.1% of profit, and one of them lost $281m as recently as FY2025. Anyone modelling KLA as a diversified equipment company is modelling something that does not exist: it is a process control business with two small appendages, one of which has now been partly cut away.</w:t>
      </w:r>
    </w:p>
    <w:p>
      <w:pPr>
        <w:pStyle w:val="Heading2"/>
      </w:pPr>
      <w:r>
        <w:t xml:space="preserve">The financial spine</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2600"/>
        <w:gridCol w:w="1700"/>
        <w:gridCol w:w="1700"/>
        <w:gridCol w:w="1700"/>
        <w:gridCol w:w="1660"/>
      </w:tblGrid>
      <w:tr>
        <w:trPr>
          <w:tblHeader/>
        </w:trPr>
        <w:tc>
          <w:tcPr>
            <w:tcW w:type="dxa" w:w="260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
            </w:r>
          </w:p>
        </w:tc>
        <w:tc>
          <w:tcPr>
            <w:tcW w:type="dxa" w:w="17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FY2019</w:t>
            </w:r>
          </w:p>
        </w:tc>
        <w:tc>
          <w:tcPr>
            <w:tcW w:type="dxa" w:w="17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FY2022</w:t>
            </w:r>
          </w:p>
        </w:tc>
        <w:tc>
          <w:tcPr>
            <w:tcW w:type="dxa" w:w="170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FY2024</w:t>
            </w:r>
          </w:p>
        </w:tc>
        <w:tc>
          <w:tcPr>
            <w:tcW w:type="dxa" w:w="1660"/>
            <w:shd w:fill="F2F2F2" w:color="auto" w:val="clear"/>
            <w:tcMar>
              <w:top w:type="dxa" w:w="80"/>
              <w:left w:type="dxa" w:w="120"/>
              <w:bottom w:type="dxa" w:w="80"/>
              <w:right w:type="dxa" w:w="120"/>
            </w:tcMar>
          </w:tcPr>
          <w:p>
            <w:pPr>
              <w:spacing w:after="0" w:line="250"/>
              <w:jc w:val="right"/>
            </w:pPr>
            <w:r>
              <w:rPr>
                <w:rFonts w:ascii="Arial" w:cs="Arial" w:eastAsia="Arial" w:hAnsi="Arial"/>
                <w:b/>
                <w:bCs/>
                <w:i w:val="false"/>
                <w:iCs w:val="false"/>
                <w:sz w:val="20"/>
                <w:szCs w:val="20"/>
              </w:rPr>
              <w:t xml:space="preserve">FY2026</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Revenue ($m)</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4,569</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9,212</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9,812</w:t>
            </w:r>
          </w:p>
        </w:tc>
        <w:tc>
          <w:tcPr>
            <w:tcW w:type="dxa" w:w="16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13,579</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Gross margin</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59.1%</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61.0%</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60.0%</w:t>
            </w:r>
          </w:p>
        </w:tc>
        <w:tc>
          <w:tcPr>
            <w:tcW w:type="dxa" w:w="16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61.3%</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Operating margin</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30.4%</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39.7%</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34.1%</w:t>
            </w:r>
          </w:p>
        </w:tc>
        <w:tc>
          <w:tcPr>
            <w:tcW w:type="dxa" w:w="16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41.7%</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Service % of revenue</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25.8%</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20.7%</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23.7%</w:t>
            </w:r>
          </w:p>
        </w:tc>
        <w:tc>
          <w:tcPr>
            <w:tcW w:type="dxa" w:w="16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23.0%</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Diluted EPS (split-adj.)</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$0.75</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$2.19</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$2.03</w:t>
            </w:r>
          </w:p>
        </w:tc>
        <w:tc>
          <w:tcPr>
            <w:tcW w:type="dxa" w:w="16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$3.66</w:t>
            </w:r>
          </w:p>
        </w:tc>
      </w:tr>
      <w:tr>
        <w:trPr>
          <w:tblHeader w:val="false"/>
        </w:trPr>
        <w:tc>
          <w:tcPr>
            <w:tcW w:type="dxa" w:w="260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Operating cash flow ($m)</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1,153</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3,313</w:t>
            </w:r>
          </w:p>
        </w:tc>
        <w:tc>
          <w:tcPr>
            <w:tcW w:type="dxa" w:w="170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3,309</w:t>
            </w:r>
          </w:p>
        </w:tc>
        <w:tc>
          <w:tcPr>
            <w:tcW w:type="dxa" w:w="1660"/>
            <w:tcMar>
              <w:top w:type="dxa" w:w="80"/>
              <w:left w:type="dxa" w:w="120"/>
              <w:bottom w:type="dxa" w:w="80"/>
              <w:right w:type="dxa" w:w="120"/>
            </w:tcMar>
          </w:tcPr>
          <w:p>
            <w:pPr>
              <w:spacing w:after="0" w:line="250"/>
              <w:jc w:val="right"/>
            </w:pPr>
            <w:r>
              <w:rPr>
                <w:rFonts w:ascii="Arial" w:cs="Arial" w:eastAsia="Arial" w:hAnsi="Arial"/>
                <w:b w:val="false"/>
                <w:bCs w:val="false"/>
                <w:i w:val="false"/>
                <w:iCs w:val="false"/>
                <w:sz w:val="20"/>
                <w:szCs w:val="20"/>
              </w:rPr>
              <w:t xml:space="preserve">4,143</w:t>
            </w:r>
          </w:p>
        </w:tc>
      </w:tr>
    </w:tbl>
    <w:p>
      <w:pPr>
        <w:spacing w:after="200" w:before="100" w:line="250"/>
      </w:pPr>
      <w:r>
        <w:rPr>
          <w:rFonts w:ascii="Arial" w:cs="Arial" w:eastAsia="Arial" w:hAnsi="Arial"/>
          <w:i/>
          <w:iCs/>
          <w:color w:val="595959"/>
          <w:sz w:val="17"/>
          <w:szCs w:val="17"/>
        </w:rPr>
        <w:t xml:space="preserve">Sources: FY2019, FY2022, FY2024 and FY2026 Forms 10-K. Years chosen to show the shape of the change: FY2019 the prior cycle, FY2022 the prior peak, FY2024 the last trough, FY2026 the current peak. Operating margin is computed — KLA's income statement presents no operating income subtotal. Comparability warnings: FY2019 includes only four months of Orbotech, which closed 20 February 2019, and its margins carry the mix effect of Orbotech's lower-margin lines; FY2024 and FY2026 exclude most Display products following the March 2024 exit; and all per-share figures are restated for the ten-for-one stock split effected 11 June 2026, so FY2019–FY2024 EPS above is one-tenth of the figure as originally reported.</w:t>
      </w:r>
    </w:p>
    <w:p>
      <w:pPr>
        <w:spacing w:after="140" w:line="276"/>
      </w:pPr>
      <w:r>
        <w:rPr>
          <w:rFonts w:ascii="Arial" w:cs="Arial" w:eastAsia="Arial" w:hAnsi="Arial"/>
          <w:sz w:val="22"/>
          <w:szCs w:val="22"/>
        </w:rPr>
        <w:t xml:space="preserve">Two things about that margin series need stating before it is used. First, KLA publishes no realised gross margin in its earnings releases — only guidance ranges — so every margin figure in this document is computed from reported revenue and cost of revenues. Second, GAAP earnings are repeatedly distorted by discrete items large enough to invert the comparison: a $394.5m one-time tax benefit in the September 2021 quarter lifted GAAP EPS above its own guided range, while impairments of $219.0m ($1.59 per share) in the December 2023 quarter and $239.1m ($1.76 per share) in the December 2024 quarter cut it. All three sit outside the operating business, and the last two attach to the non-semiconductor segments.</w:t>
      </w:r>
    </w:p>
    <w:p>
      <w:pPr>
        <w:spacing w:after="140" w:line="276"/>
      </w:pPr>
      <w:r>
        <w:rPr>
          <w:rFonts w:ascii="Arial" w:cs="Arial" w:eastAsia="Arial" w:hAnsi="Arial"/>
          <w:sz w:val="22"/>
          <w:szCs w:val="22"/>
        </w:rPr>
        <w:t xml:space="preserve">The Orbotech acquisition also reset the margin base permanently downward, which is why pre-2019 gross margins are not comparable to today. KLA ran 63% to 65% gross margin through FY2017 and FY2018. Orbotech’s lower-margin lines, plus roughly $40m a quarter of ongoing acquisition-related amortisation charged to cost of revenues, took the consolidated figure to around 60%, and it has taken seven years to work back to 61.3%. Measured against the pre-Orbotech base, FY2026’s record margin is a recovery rather than an all-time high.</w:t>
      </w:r>
    </w:p>
    <w:p>
      <w:pPr>
        <w:spacing w:after="140" w:line="276"/>
      </w:pPr>
      <w:r>
        <w:rPr>
          <w:rFonts w:ascii="Arial" w:cs="Arial" w:eastAsia="Arial" w:hAnsi="Arial"/>
          <w:sz w:val="22"/>
          <w:szCs w:val="22"/>
        </w:rPr>
        <w:t xml:space="preserve">Cash conversion is close to complete and barely cyclical. FY2026 operating cash flow of $4.14bn against $4.83bn of net income is 86% conversion, and capex is small for a capital-equipment maker — $376m, 2.8% of revenue, because the physically capital-intensive step in this value chain is the customer's fab, not KLA's factory. Free cash flow, computed as operating cash flow less capex, was $3.77bn. The working-capital drag is visible and worth watching: receivables rose to $2.89bn from $2.26bn, taking days sales outstanding from 68 to 78 (computed; KLA does not disclose DSO), and inventory rose to $3.65bn.</w:t>
      </w:r>
    </w:p>
    <w:p>
      <w:pPr>
        <w:spacing w:after="140" w:line="276"/>
      </w:pPr>
      <w:r>
        <w:rPr>
          <w:rFonts w:ascii="Arial" w:cs="Arial" w:eastAsia="Arial" w:hAnsi="Arial"/>
          <w:sz w:val="22"/>
          <w:szCs w:val="22"/>
        </w:rPr>
        <w:t xml:space="preserve">Cash generation held through the last downturn. Operating cash flow was $3.31bn in FY2024, down 9.8% from FY2023, in the year revenue fell 6.5%. The business threw off more than $3.3bn of cash in its worst recent year.</w:t>
      </w:r>
    </w:p>
    <w:p>
      <w:pPr>
        <w:pStyle w:val="Heading2"/>
      </w:pPr>
      <w:r>
        <w:t xml:space="preserve">Capital allocation</w:t>
      </w:r>
    </w:p>
    <w:p>
      <w:pPr>
        <w:spacing w:after="140" w:line="276"/>
      </w:pPr>
      <w:r>
        <w:rPr>
          <w:rFonts w:ascii="Arial" w:cs="Arial" w:eastAsia="Arial" w:hAnsi="Arial"/>
          <w:sz w:val="22"/>
          <w:szCs w:val="22"/>
        </w:rPr>
        <w:t xml:space="preserve">Over FY2024 to FY2026 the ranking of uses is unambiguous: buybacks $6.18bn, dividends $2.74bn, capex $0.99bn, debt repayment $0.75bn, acquisitions $3.7m. KLA returned $3.35bn in FY2026 alone — $2.29bn of repurchases and $1.06bn of dividends — equal to 89% of free cash flow and 81% of operating cash flow.</w:t>
      </w:r>
    </w:p>
    <w:p>
      <w:pPr>
        <w:spacing w:after="140" w:line="276"/>
      </w:pPr>
      <w:r>
        <w:rPr>
          <w:rFonts w:ascii="Arial" w:cs="Arial" w:eastAsia="Arial" w:hAnsi="Arial"/>
          <w:sz w:val="22"/>
          <w:szCs w:val="22"/>
        </w:rPr>
        <w:t xml:space="preserve">That ranking reads differently alongside what happened to the one large acquisition KLA has made. Orbotech closed in February 2019 for $3.26bn. In the March 2020 quarter, roughly thirteen months later, KLA took a $256.6m goodwill impairment against it — $1.63 per share — attributing the charge to "the downward revision of financial outlook for the acquired Orbotech business" as well as pandemic conditions (2020-05-05 release). Further impairments of $289m in FY2024 and $239m in FY2025 fell on the same acquired PCB and Display businesses, and KLA exited most of Display in March 2024. The "meaningful cost synergies" promised at announcement were never quantified in any later release. The observable record is that the acquired assets were written down repeatedly and partly divested, and that no acquisition of consequence has been attempted since.</w:t>
      </w:r>
    </w:p>
    <w:p>
      <w:pPr>
        <w:spacing w:after="140" w:line="276"/>
      </w:pPr>
      <w:r>
        <w:rPr>
          <w:rFonts w:ascii="Arial" w:cs="Arial" w:eastAsia="Arial" w:hAnsi="Arial"/>
          <w:sz w:val="22"/>
          <w:szCs w:val="22"/>
        </w:rPr>
        <w:t xml:space="preserve">The behaviour that ranking reveals is a management team that treats the business as needing very little reinvested capital and treats acquisition as closed. Share count has fallen every year: 1,580m split-adjusted diluted shares in FY2020 to 1,320m in FY2026, down 16.5%, roughly 2.9% a year. The dividend was raised for the seventeenth consecutive year, to $0.23 a quarter post-split, on a 21.9% payout of net income — a deliberately low ratio that leaves the buyback as the swing variable. Repurchase authorisation stood at $9.74bn at year end after a $7.00bn increase in March 2026, and the 10-K notes that "a portion of the remaining repurchases may be financed with new indebtedness."</w:t>
      </w:r>
    </w:p>
    <w:p>
      <w:pPr>
        <w:spacing w:after="140" w:line="276"/>
      </w:pPr>
      <w:r>
        <w:rPr>
          <w:rFonts w:ascii="Arial" w:cs="Arial" w:eastAsia="Arial" w:hAnsi="Arial"/>
          <w:sz w:val="22"/>
          <w:szCs w:val="22"/>
        </w:rPr>
        <w:t xml:space="preserve">The balance sheet supports that. Gross debt of $5.95bn principal against $4.90bn of cash and marketable securities leaves under $1.0bn of net debt and a 0.53x net leverage ratio against a 3.25x covenant maximum. No debt matures before 2029.</w:t>
      </w:r>
    </w:p>
    <w:p>
      <w:pPr>
        <w:spacing w:after="140" w:line="276"/>
      </w:pPr>
      <w:r>
        <w:rPr>
          <w:rFonts w:ascii="Arial" w:cs="Arial" w:eastAsia="Arial" w:hAnsi="Arial"/>
          <w:sz w:val="22"/>
          <w:szCs w:val="22"/>
        </w:rPr>
        <w:t xml:space="preserve">At an Investor Day on 12 March 2026 KLA published a 2030 target model: revenue of $26bn ± $2.5bn, gross margin around 63.5%, operating margin 45–47%, diluted EPS of $8.40 ± $0.80 post-split, and more than 90% of free cash flow returned. The stated assumptions are an ~11% semiconductor industry CAGR to 2030, wafer equipment growing about a point faster to $215bn ± $20bn, KLA's share of wafer equipment rising more than 150 basis points, and services growing 13–15%. Against FY2026 actuals that implies roughly a 17% revenue CAGR and a 22% EPS CAGR. KLA's own prior 2026 model called for $14bn ± $500m of revenue and 41–43% operating margin; FY2026 delivered $13.58bn at 41.7%, inside both bands, though GAAP gross margin of 61.3% fell short of the ~63% target. No transaction has been announced that post-dates the FY2026 figures.</w:t>
      </w:r>
    </w:p>
    <w:p>
      <w:r>
        <w:br w:type="page"/>
      </w:r>
    </w:p>
    <w:p>
      <w:pPr>
        <w:pStyle w:val="Heading1"/>
      </w:pPr>
      <w:r>
        <w:t xml:space="preserve">6. Cyclicality, Constraints and What to Monitor</w:t>
      </w:r>
    </w:p>
    <w:p>
      <w:pPr>
        <w:spacing w:after="140" w:line="276"/>
      </w:pPr>
      <w:r>
        <w:rPr>
          <w:rFonts w:ascii="Arial" w:cs="Arial" w:eastAsia="Arial" w:hAnsi="Arial"/>
          <w:sz w:val="22"/>
          <w:szCs w:val="22"/>
        </w:rPr>
        <w:t xml:space="preserve">KLA is exposed to a capital cycle driven by five customers, and it has been through two recent downturns with very different characters. The 2019 downcycle cut total semiconductor equipment billings 7.3%, from $64.5bn to $59.8bn, and was regionally violent — Korea down 44%, Japan down 34%, Europe down 46%, while Taiwan rose 68% (SEMI, 14 April 2020). KLA's own reported revenue rose 13.2% that year, but the pro forma comparison in Section 4 puts it at 1.5%, and operating cash flow fell 6.2% — the only headline line that went backwards.</w:t>
      </w:r>
    </w:p>
    <w:p>
      <w:pPr>
        <w:spacing w:after="140" w:line="276"/>
      </w:pPr>
      <w:r>
        <w:rPr>
          <w:rFonts w:ascii="Arial" w:cs="Arial" w:eastAsia="Arial" w:hAnsi="Arial"/>
          <w:sz w:val="22"/>
          <w:szCs w:val="22"/>
        </w:rPr>
        <w:t xml:space="preserve">The 2023 downturn was different in kind. Aggregate billings fell only 1.3%, but the composition was severe: assembly and packaging down 30%, test down 17%, while front-end wafer processing actually grew 1% (SEMI, 10 April 2024). The front end has become the stable core of the equipment market, and process control sits in the front end.</w:t>
      </w:r>
    </w:p>
    <w:p>
      <w:pPr>
        <w:pStyle w:val="Heading2"/>
      </w:pPr>
      <w:r>
        <w:t xml:space="preserve">How deep the last trough was, and what held</w:t>
      </w:r>
    </w:p>
    <w:p>
      <w:pPr>
        <w:spacing w:after="140" w:line="276"/>
      </w:pPr>
      <w:r>
        <w:rPr>
          <w:rFonts w:ascii="Arial" w:cs="Arial" w:eastAsia="Arial" w:hAnsi="Arial"/>
          <w:sz w:val="22"/>
          <w:szCs w:val="22"/>
        </w:rPr>
        <w:t xml:space="preserve">KLA's FY2024 is the clean annual measurement of the trough. Revenue fell 6.5% to $9.81bn; product revenue fell 11%; operating margin fell to 34.1% and gross margin to 60.0%. Two comparisons give that number meaning. Lam Research, on an identical June fiscal year-end, saw revenue fall 14.5% over the same twelve months — more than twice the decline. And KLA's own service revenue rose 10% through the trough, from $2.12bn to $2.33bn.</w:t>
      </w:r>
    </w:p>
    <w:p>
      <w:pPr>
        <w:spacing w:after="140" w:line="276"/>
      </w:pPr>
      <w:r>
        <w:rPr>
          <w:rFonts w:ascii="Arial" w:cs="Arial" w:eastAsia="Arial" w:hAnsi="Arial"/>
          <w:sz w:val="22"/>
          <w:szCs w:val="22"/>
        </w:rPr>
        <w:t xml:space="preserve">The fiscal year is the wrong window for measuring the drawdown, however, and using it alone understates what the business actually went through. The quarterly releases put the peak at $2,984m in the December 2022 quarter and the trough at $2,355m in June 2023 — a decline of 21.1% in six months, after which revenue sat between $2.36bn and $2.49bn for five consecutive quarters before recovering. A June fiscal year-end splits that contraction across FY2023 and FY2024 and reports neither year as worse than −6.5%. The honest statement is that KLA's revenue fell about a fifth peak to trough and stayed down for more than a year, and that it did so while remaining comfortably profitable — operating margin never fell below 34.1% in any fiscal year and operating cash flow never fell below $3.3bn.</w:t>
      </w:r>
    </w:p>
    <w:p>
      <w:pPr>
        <w:spacing w:after="140" w:line="276"/>
      </w:pPr>
      <w:r>
        <w:rPr>
          <w:rFonts w:ascii="Arial" w:cs="Arial" w:eastAsia="Arial" w:hAnsi="Arial"/>
          <w:sz w:val="22"/>
          <w:szCs w:val="22"/>
        </w:rPr>
        <w:t xml:space="preserve">The quarterly record makes the annuity claim considerably harder to argue with than the annual one does. Across the 21 quarters from September 2016 to June 2021, service revenue declined sequentially exactly once, and by 0.2%. It grew through both of the last two downturns, and grew fastest precisely where product revenue fell hardest: in the March 2019 quarter product revenue fell 6.9% sequentially while service rose 13.6%, and in the March 2020 quarter product fell 8.2% while service rose 2.2%. Service as a share of revenue peaks when product troughs — 27.7% at the March 2019 low against 21.1% at the FY2017 high-water mark for product. That is the shock absorber working, visible twice, in two structurally different downturns.</w:t>
      </w:r>
    </w:p>
    <w:p>
      <w:pPr>
        <w:spacing w:after="140" w:line="276"/>
      </w:pPr>
      <w:r>
        <w:rPr>
          <w:rFonts w:ascii="Arial" w:cs="Arial" w:eastAsia="Arial" w:hAnsi="Arial"/>
          <w:sz w:val="22"/>
          <w:szCs w:val="22"/>
        </w:rPr>
        <w:t xml:space="preserve">Nor is it unique to KLA. ASML's installed base management revenue is 25% of sales and grew 26% in 2025, Applied's services arm is 22.5% of revenue, and Lasertec's FY2026 service revenue rose 36.5% while its product sales fell 17.2%. A quarter of the equipment industry's revenue is now installed-base-driven rather than capex-driven, and that has flattened the cycle for everyone in it. The remaining caveat is about scale rather than about the mechanism: Onto — process control without it — saw operating margin fall from 19.0% to 13.2% in a year revenue grew. Sub-scale process control is more cyclical, not less.</w:t>
      </w:r>
    </w:p>
    <w:p>
      <w:pPr>
        <w:pStyle w:val="Heading2"/>
      </w:pPr>
      <w:r>
        <w:t xml:space="preserve">Where the business sits right now</w:t>
      </w:r>
    </w:p>
    <w:p>
      <w:pPr>
        <w:spacing w:after="140" w:line="276"/>
      </w:pPr>
      <w:r>
        <w:rPr>
          <w:rFonts w:ascii="Arial" w:cs="Arial" w:eastAsia="Arial" w:hAnsi="Arial"/>
          <w:sz w:val="22"/>
          <w:szCs w:val="22"/>
        </w:rPr>
        <w:t xml:space="preserve">At the peak, on every metric it reports. FY2026 revenue, gross margin, operating margin, net income, operating cash flow and EPS are all the highest in the observable series. Backlog is up 60% to $12.57bn, 0.93 times a year's revenue. Guidance for the September 2026 quarter implies 22.8% year-over-year growth, and KLA's own shareholder letter puts second-half calendar 2026 revenue about 20% above the first half and raised its wafer equipment market view to "approximately the low $150 billion range in calendar 2026" (KLA Q4 FY26 shareholder letter, 28 July 2026). This is a cycle-peak print with an accelerating order book behind it, not a mid-cycle one.</w:t>
      </w:r>
    </w:p>
    <w:p>
      <w:pPr>
        <w:spacing w:after="140" w:line="276"/>
      </w:pPr>
      <w:r>
        <w:rPr>
          <w:rFonts w:ascii="Arial" w:cs="Arial" w:eastAsia="Arial" w:hAnsi="Arial"/>
          <w:sz w:val="22"/>
          <w:szCs w:val="22"/>
        </w:rPr>
        <w:t xml:space="preserve">End-market exposure is mix-volatile and should not be annualised from any single quarter. For process control systems in the June 2026 quarter, foundry/logic was 79% and memory 21%, with DRAM 83% of memory; the March quarter was 62% foundry/logic and 38% memory, and KLA guided September back to roughly 73/27 (KLA Q3 and Q4 FY26 shareholder letters). Geographically, China was 29.8% of FY2026 revenue, down from 33.3% and 42.8%, with Taiwan 26.8% and Korea 13.5% (FY2026 10-K). China's revenue was flat in dollars while the rest of the business grew.</w:t>
      </w:r>
    </w:p>
    <w:p>
      <w:pPr>
        <w:spacing w:after="140" w:line="276"/>
      </w:pPr>
      <w:r>
        <w:rPr>
          <w:rFonts w:ascii="Arial" w:cs="Arial" w:eastAsia="Arial" w:hAnsi="Arial"/>
          <w:sz w:val="22"/>
          <w:szCs w:val="22"/>
        </w:rPr>
        <w:t xml:space="preserve">A downside case, expressed as the mechanism KLA would actually feel rather than as a forecast: China's equipment spending has already flatlined at roughly $49.3bn in 2025 against $49.6bn in 2024, while global spend grew 15% (SEMI, 7 April 2026), and that plateaued spend sits at exactly the mature nodes where Skyverse is growing 48.75% a year. If domestic Chinese suppliers capture that market while export controls tighten what KLA may ship and service there, KLA's revenue base shrinks while its R&amp;D roadmap does not slow — GAA, backside power, High-NA and HBM stacking all continue. R&amp;D intensity rises from 11.3% toward the 13–16% the sub-scale peers carry, and operating margin compresses toward theirs. Onto's 2025 is the working example of that arithmetic: opex outran a stalled revenue base, and margins fell in a year revenue still grew.</w:t>
      </w:r>
    </w:p>
    <w:p>
      <w:pPr>
        <w:spacing w:after="140" w:line="276"/>
      </w:pPr>
      <w:r>
        <w:rPr>
          <w:rFonts w:ascii="Arial" w:cs="Arial" w:eastAsia="Arial" w:hAnsi="Arial"/>
          <w:sz w:val="22"/>
          <w:szCs w:val="22"/>
        </w:rPr>
        <w:t xml:space="preserve">One further piece of evidence on how this management team behaves at a trough. In the January 2024 release — the bottom of the cycle — Rick Wallace said the quarter capped a year of "strong relative margins and free cash flow growth despite a persistently soft market," and that "while market conditions remain challenging in the near-term, with limited visibility regarding the timing of a resumption in sustainable demand, we believe our business has stabilized around current revenue levels." Three months later the language moved to "market conditions have stabilized and we expect our business levels to improve." Across the whole downturn the framing never described demand as deteriorating further — it moved directly from "challenging" to "stabilized." Whether that reflects genuine visibility or a house style is not resolvable from the documents, but the calls were, in the event, correct.</w:t>
      </w:r>
    </w:p>
    <w:p>
      <w:pPr>
        <w:pStyle w:val="Heading2"/>
      </w:pPr>
      <w:r>
        <w:t xml:space="preserve">Durable versus borrowed</w:t>
      </w:r>
    </w:p>
    <w:tbl>
      <w:tblPr>
        <w:tblW w:type="dxa" w:w="9360"/>
        <w:tblBorders>
          <w:top w:val="single" w:color="BFBFBF" w:sz="6"/>
          <w:left w:val="single" w:color="BFBFBF" w:sz="6"/>
          <w:bottom w:val="single" w:color="BFBFBF" w:sz="6"/>
          <w:right w:val="single" w:color="BFBFBF" w:sz="6"/>
          <w:insideH w:val="single" w:color="D9D9D9" w:sz="4"/>
          <w:insideV w:val="single" w:color="D9D9D9" w:sz="4"/>
        </w:tblBorders>
      </w:tblPr>
      <w:tblGrid>
        <w:gridCol w:w="4680"/>
        <w:gridCol w:w="4680"/>
      </w:tblGrid>
      <w:tr>
        <w:trPr>
          <w:tblHeader/>
        </w:trPr>
        <w:tc>
          <w:tcPr>
            <w:tcW w:type="dxa" w:w="468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Durable — likely intact in ten years</w:t>
            </w:r>
          </w:p>
        </w:tc>
        <w:tc>
          <w:tcPr>
            <w:tcW w:type="dxa" w:w="4680"/>
            <w:shd w:fill="F2F2F2" w:color="auto" w:val="clear"/>
            <w:tcMar>
              <w:top w:type="dxa" w:w="80"/>
              <w:left w:type="dxa" w:w="120"/>
              <w:bottom w:type="dxa" w:w="80"/>
              <w:right w:type="dxa" w:w="120"/>
            </w:tcMar>
          </w:tcPr>
          <w:p>
            <w:pPr>
              <w:spacing w:after="0" w:line="250"/>
              <w:jc w:val="left"/>
            </w:pPr>
            <w:r>
              <w:rPr>
                <w:rFonts w:ascii="Arial" w:cs="Arial" w:eastAsia="Arial" w:hAnsi="Arial"/>
                <w:b/>
                <w:bCs/>
                <w:i w:val="false"/>
                <w:iCs w:val="false"/>
                <w:sz w:val="20"/>
                <w:szCs w:val="20"/>
              </w:rPr>
              <w:t xml:space="preserve">Borrowed — currently helping, will not repeat</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Process control share and the R&amp;D scale that funds it</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Peak AI-driven capital spending: WFE +23.1% in 2026 on a forecast revised up 14% mid-year</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The service annuity: 23% of revenue, and only one sequential decline in 21 quarters</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Backlog at 0.93x revenue, which KLA itself says may be modified, rescheduled or cancelled</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Process-of-record lock-in, corroborated by a competitor's own 20-F</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A June-quarter foundry/logic mix of 79%, guided back to ~73%</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Rising measurement steps per wafer as node architectures add dimensions</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Absence of impairments: FY2024 and FY2025 each carried $239–289m; FY2026 carried none</w:t>
            </w:r>
          </w:p>
        </w:tc>
      </w:tr>
      <w:tr>
        <w:trPr>
          <w:tblHeader w:val="false"/>
        </w:trPr>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Low capital intensity: capex 2.8% of revenue, ~86% cash conversion</w:t>
            </w:r>
          </w:p>
        </w:tc>
        <w:tc>
          <w:tcPr>
            <w:tcW w:type="dxa" w:w="4680"/>
            <w:tcMar>
              <w:top w:type="dxa" w:w="80"/>
              <w:left w:type="dxa" w:w="120"/>
              <w:bottom w:type="dxa" w:w="80"/>
              <w:right w:type="dxa" w:w="120"/>
            </w:tcMar>
          </w:tcPr>
          <w:p>
            <w:pPr>
              <w:spacing w:after="0" w:line="250"/>
              <w:jc w:val="left"/>
            </w:pPr>
            <w:r>
              <w:rPr>
                <w:rFonts w:ascii="Arial" w:cs="Arial" w:eastAsia="Arial" w:hAnsi="Arial"/>
                <w:b w:val="false"/>
                <w:bCs w:val="false"/>
                <w:i w:val="false"/>
                <w:iCs w:val="false"/>
                <w:sz w:val="20"/>
                <w:szCs w:val="20"/>
              </w:rPr>
              <w:t xml:space="preserve">A 13.8% effective tax rate resting on Singapore and Israel profits, with Pillar Two phasing in</w:t>
            </w:r>
          </w:p>
        </w:tc>
      </w:tr>
    </w:tbl>
    <w:p>
      <w:pPr>
        <w:pStyle w:val="Heading2"/>
      </w:pPr>
      <w:r>
        <w:t xml:space="preserve">What to monitor, and where it is published</w:t>
      </w:r>
    </w:p>
    <w:p>
      <w:pPr>
        <w:pStyle w:val="ListParagraph"/>
        <w:numPr>
          <w:ilvl w:val="0"/>
          <w:numId w:val="2"/>
        </w:numPr>
        <w:spacing w:after="100" w:line="276"/>
      </w:pPr>
      <w:r>
        <w:rPr>
          <w:rFonts w:ascii="Arial" w:cs="Arial" w:eastAsia="Arial" w:hAnsi="Arial"/>
          <w:sz w:val="22"/>
          <w:szCs w:val="22"/>
        </w:rPr>
        <w:t xml:space="preserve">China as a percentage of revenue — disclosed annually in the 10-K risk factors and MD&amp;A, and quarterly in KLA's shareholder letter. The trajectory 42.8% → 33.3% → 29.8% is the clearest single reading of export-control and substitution pressure.</w:t>
      </w:r>
    </w:p>
    <w:p>
      <w:pPr>
        <w:pStyle w:val="ListParagraph"/>
        <w:numPr>
          <w:ilvl w:val="0"/>
          <w:numId w:val="2"/>
        </w:numPr>
        <w:spacing w:after="100" w:line="276"/>
      </w:pPr>
      <w:r>
        <w:rPr>
          <w:rFonts w:ascii="Arial" w:cs="Arial" w:eastAsia="Arial" w:hAnsi="Arial"/>
          <w:sz w:val="22"/>
          <w:szCs w:val="22"/>
        </w:rPr>
        <w:t xml:space="preserve">Service revenue growth in the next quarter when product revenue falls — KLA's quarterly earnings release. Whether the annuity holds a second time is the test of the de-cyclicalisation argument, which currently rests on one observation.</w:t>
      </w:r>
    </w:p>
    <w:p>
      <w:pPr>
        <w:pStyle w:val="ListParagraph"/>
        <w:numPr>
          <w:ilvl w:val="0"/>
          <w:numId w:val="2"/>
        </w:numPr>
        <w:spacing w:after="100" w:line="276"/>
      </w:pPr>
      <w:r>
        <w:rPr>
          <w:rFonts w:ascii="Arial" w:cs="Arial" w:eastAsia="Arial" w:hAnsi="Arial"/>
          <w:sz w:val="22"/>
          <w:szCs w:val="22"/>
        </w:rPr>
        <w:t xml:space="preserve">R&amp;D as a percentage of revenue — quarterly earnings release. A move above 13% would signal that the fixed cost is being spread over a shrinking base.</w:t>
      </w:r>
    </w:p>
    <w:p>
      <w:pPr>
        <w:pStyle w:val="ListParagraph"/>
        <w:numPr>
          <w:ilvl w:val="0"/>
          <w:numId w:val="2"/>
        </w:numPr>
        <w:spacing w:after="100" w:line="276"/>
      </w:pPr>
      <w:r>
        <w:rPr>
          <w:rFonts w:ascii="Arial" w:cs="Arial" w:eastAsia="Arial" w:hAnsi="Arial"/>
          <w:sz w:val="22"/>
          <w:szCs w:val="22"/>
        </w:rPr>
        <w:t xml:space="preserve">Revenue against the guided midpoint each quarter — the earnings release carries both. Twenty-four consecutive quarters have landed above it; the first quarter that does not would say more about the demand turn than any single revenue figure, because it would mean demand moved faster than the quarter it was guided in.</w:t>
      </w:r>
    </w:p>
    <w:p>
      <w:pPr>
        <w:pStyle w:val="ListParagraph"/>
        <w:numPr>
          <w:ilvl w:val="0"/>
          <w:numId w:val="2"/>
        </w:numPr>
        <w:spacing w:after="100" w:line="276"/>
      </w:pPr>
      <w:r>
        <w:rPr>
          <w:rFonts w:ascii="Arial" w:cs="Arial" w:eastAsia="Arial" w:hAnsi="Arial"/>
          <w:sz w:val="22"/>
          <w:szCs w:val="22"/>
        </w:rPr>
        <w:t xml:space="preserve">Backlog at each fiscal year end — Item 1 of the 10-K. The gap between $12.57bn of backlog and revenue actually recognised is where cancellation risk shows up.</w:t>
      </w:r>
    </w:p>
    <w:p>
      <w:pPr>
        <w:pStyle w:val="ListParagraph"/>
        <w:numPr>
          <w:ilvl w:val="0"/>
          <w:numId w:val="2"/>
        </w:numPr>
        <w:spacing w:after="100" w:line="276"/>
      </w:pPr>
      <w:r>
        <w:rPr>
          <w:rFonts w:ascii="Arial" w:cs="Arial" w:eastAsia="Arial" w:hAnsi="Arial"/>
          <w:sz w:val="22"/>
          <w:szCs w:val="22"/>
        </w:rPr>
        <w:t xml:space="preserve">SEMI equipment billings and forecast — published each April (actuals) and each December and July (forecast), free on semi.org. The July 2026 revision demonstrated how fast this series moves.</w:t>
      </w:r>
    </w:p>
    <w:p>
      <w:pPr>
        <w:pStyle w:val="ListParagraph"/>
        <w:numPr>
          <w:ilvl w:val="0"/>
          <w:numId w:val="2"/>
        </w:numPr>
        <w:spacing w:after="100" w:line="276"/>
      </w:pPr>
      <w:r>
        <w:rPr>
          <w:rFonts w:ascii="Arial" w:cs="Arial" w:eastAsia="Arial" w:hAnsi="Arial"/>
          <w:sz w:val="22"/>
          <w:szCs w:val="22"/>
        </w:rPr>
        <w:t xml:space="preserve">Skyverse's revenue growth, node coverage and whether its ex-items loss narrows — annual report on the Shanghai STAR board. Profitability at scale would signal genuine rather than subsidised competitiveness.</w:t>
      </w:r>
    </w:p>
    <w:p>
      <w:pPr>
        <w:pStyle w:val="ListParagraph"/>
        <w:numPr>
          <w:ilvl w:val="0"/>
          <w:numId w:val="2"/>
        </w:numPr>
        <w:spacing w:after="100" w:line="276"/>
      </w:pPr>
      <w:r>
        <w:rPr>
          <w:rFonts w:ascii="Arial" w:cs="Arial" w:eastAsia="Arial" w:hAnsi="Arial"/>
          <w:sz w:val="22"/>
          <w:szCs w:val="22"/>
        </w:rPr>
        <w:t xml:space="preserve">Whether the BIS Affiliates Rule is extended before 9 November 2026 — Federal Register.</w:t>
      </w:r>
    </w:p>
    <w:p>
      <w:r>
        <w:br w:type="page"/>
      </w:r>
    </w:p>
    <w:p>
      <w:pPr>
        <w:pStyle w:val="Heading1"/>
      </w:pPr>
      <w:r>
        <w:t xml:space="preserve">7. Risks, Unknowns and Questions for Deeper Work</w:t>
      </w:r>
    </w:p>
    <w:p>
      <w:pPr>
        <w:spacing w:after="140" w:line="276"/>
      </w:pPr>
      <w:r>
        <w:rPr>
          <w:rFonts w:ascii="Arial" w:cs="Arial" w:eastAsia="Arial" w:hAnsi="Arial"/>
          <w:sz w:val="22"/>
          <w:szCs w:val="22"/>
        </w:rPr>
        <w:t xml:space="preserve">Section 6 covers cyclicality. These are the risks cyclicality does not capture, ordered by how much they compound.</w:t>
      </w:r>
    </w:p>
    <w:p>
      <w:pPr>
        <w:pStyle w:val="ListParagraph"/>
        <w:numPr>
          <w:ilvl w:val="0"/>
          <w:numId w:val="2"/>
        </w:numPr>
        <w:spacing w:after="100" w:line="276"/>
      </w:pPr>
      <w:r>
        <w:rPr>
          <w:rFonts w:ascii="Arial" w:cs="Arial" w:eastAsia="Arial" w:hAnsi="Arial"/>
          <w:b/>
          <w:bCs/>
          <w:sz w:val="22"/>
          <w:szCs w:val="22"/>
        </w:rPr>
        <w:t xml:space="preserve">The export-control ratchet has a compounding feedback loop written into it. </w:t>
      </w:r>
      <w:r>
        <w:rPr>
          <w:rFonts w:ascii="Arial" w:cs="Arial" w:eastAsia="Arial" w:hAnsi="Arial"/>
          <w:sz w:val="22"/>
          <w:szCs w:val="22"/>
        </w:rPr>
        <w:t xml:space="preserve">The October 2023 BIS rule sets a "presumption of approval" for licences where foreign-made alternatives exist performing equivalent functions (88 FR 73424). Every increment of Chinese domestic capability therefore loosens US licensing for non-US competitors — the rule converts rival capability development into competitive relief for those rivals. Simultaneously, the October 2022 rule restricts US persons from supporting production of controlled ICs in China, including "the shipment, transmission, or transfer of any item not subject to the EAR," which reaches field service engineers directly and so attacks the service annuity rather than only new tool sales. And the Affiliates Rule, which extends Entity List restrictions to any entity 50% or more owned by a listed party, was suspended in November 2025 for one year and reimposes automatically on 10 November 2026 absent further action. Three mechanisms — licensing, servicing and counterparty scope — that reinforce each other rather than substituting for one another.</w:t>
      </w:r>
    </w:p>
    <w:p>
      <w:pPr>
        <w:pStyle w:val="ListParagraph"/>
        <w:numPr>
          <w:ilvl w:val="0"/>
          <w:numId w:val="2"/>
        </w:numPr>
        <w:spacing w:after="100" w:line="276"/>
      </w:pPr>
      <w:r>
        <w:rPr>
          <w:rFonts w:ascii="Arial" w:cs="Arial" w:eastAsia="Arial" w:hAnsi="Arial"/>
          <w:b/>
          <w:bCs/>
          <w:sz w:val="22"/>
          <w:szCs w:val="22"/>
        </w:rPr>
        <w:t xml:space="preserve">Concrete damage from export controls has already been realised, not merely threatened. </w:t>
      </w:r>
      <w:r>
        <w:rPr>
          <w:rFonts w:ascii="Arial" w:cs="Arial" w:eastAsia="Arial" w:hAnsi="Arial"/>
          <w:sz w:val="22"/>
          <w:szCs w:val="22"/>
        </w:rPr>
        <w:t xml:space="preserve">The FY2026 10-K states that failure to obtain export licences "has harmed and could continue to harm our backlog, requiring us to return substantial deposits received from customers in China," and that products destined for China "have been held up by U.S. Customs and Border Protection." No dollar quantification of revenue foregone is given anywhere — NOT FOUND — which is itself a gap an investor would want closed.</w:t>
      </w:r>
    </w:p>
    <w:p>
      <w:pPr>
        <w:pStyle w:val="ListParagraph"/>
        <w:numPr>
          <w:ilvl w:val="0"/>
          <w:numId w:val="2"/>
        </w:numPr>
        <w:spacing w:after="100" w:line="276"/>
      </w:pPr>
      <w:r>
        <w:rPr>
          <w:rFonts w:ascii="Arial" w:cs="Arial" w:eastAsia="Arial" w:hAnsi="Arial"/>
          <w:b/>
          <w:bCs/>
          <w:sz w:val="22"/>
          <w:szCs w:val="22"/>
        </w:rPr>
        <w:t xml:space="preserve">Customer concentration has tightened at the same time as it has become more valuable. </w:t>
      </w:r>
      <w:r>
        <w:rPr>
          <w:rFonts w:ascii="Arial" w:cs="Arial" w:eastAsia="Arial" w:hAnsi="Arial"/>
          <w:sz w:val="22"/>
          <w:szCs w:val="22"/>
        </w:rPr>
        <w:t xml:space="preserve">TSMC was approximately 19% of revenue in each of FY2026 and FY2025, against 13% in FY2024 (FY2026 10-K, Note 17). Because tools are configured to customer specification, the 10-K notes that "any changes, delays or cancellations of orders may result in significant, non-recoverable costs." A single customer's capital budget deferral is therefore both a revenue and a cost event, and consolidation among chipmakers gives the survivors "greater commercial negotiating leverage."</w:t>
      </w:r>
    </w:p>
    <w:p>
      <w:pPr>
        <w:pStyle w:val="ListParagraph"/>
        <w:numPr>
          <w:ilvl w:val="0"/>
          <w:numId w:val="2"/>
        </w:numPr>
        <w:spacing w:after="100" w:line="276"/>
      </w:pPr>
      <w:r>
        <w:rPr>
          <w:rFonts w:ascii="Arial" w:cs="Arial" w:eastAsia="Arial" w:hAnsi="Arial"/>
          <w:b/>
          <w:bCs/>
          <w:sz w:val="22"/>
          <w:szCs w:val="22"/>
        </w:rPr>
        <w:t xml:space="preserve">Customers can reduce process control spending without reducing wafer output. </w:t>
      </w:r>
      <w:r>
        <w:rPr>
          <w:rFonts w:ascii="Arial" w:cs="Arial" w:eastAsia="Arial" w:hAnsi="Arial"/>
          <w:sz w:val="22"/>
          <w:szCs w:val="22"/>
        </w:rPr>
        <w:t xml:space="preserve">KLA's own risk factor names the mechanism precisely: customers "could reduce their available budgets for process control equipment by reducing inspection and metrology sampling rates," and can reuse existing installed tools rather than buying new. Because process control is a sampling activity rather than a production step, it is the one WFE category a fab under cost pressure can dial back without cutting capacity — a structural asymmetry against the sector during a squeeze.</w:t>
      </w:r>
    </w:p>
    <w:p>
      <w:pPr>
        <w:pStyle w:val="ListParagraph"/>
        <w:numPr>
          <w:ilvl w:val="0"/>
          <w:numId w:val="2"/>
        </w:numPr>
        <w:spacing w:after="100" w:line="276"/>
      </w:pPr>
      <w:r>
        <w:rPr>
          <w:rFonts w:ascii="Arial" w:cs="Arial" w:eastAsia="Arial" w:hAnsi="Arial"/>
          <w:b/>
          <w:bCs/>
          <w:sz w:val="22"/>
          <w:szCs w:val="22"/>
        </w:rPr>
        <w:t xml:space="preserve">Insourcing and integration are the two ways the moat erodes from within the industry. </w:t>
      </w:r>
      <w:r>
        <w:rPr>
          <w:rFonts w:ascii="Arial" w:cs="Arial" w:eastAsia="Arial" w:hAnsi="Arial"/>
          <w:sz w:val="22"/>
          <w:szCs w:val="22"/>
        </w:rPr>
        <w:t xml:space="preserve">The FY2026 10-K flags "possible introduction of integrated products by our larger competitors that offer inspection and metrology functionality" — deposition and etch vendors embedding in-situ sensing so that a separate measurement step becomes unnecessary — and separately warns that AI could "accelerate vertical integration or insourcing by customers." Neither has visibly happened; both would attack the number of tools sold rather than their price.</w:t>
      </w:r>
    </w:p>
    <w:p>
      <w:pPr>
        <w:pStyle w:val="ListParagraph"/>
        <w:numPr>
          <w:ilvl w:val="0"/>
          <w:numId w:val="2"/>
        </w:numPr>
        <w:spacing w:after="100" w:line="276"/>
      </w:pPr>
      <w:r>
        <w:rPr>
          <w:rFonts w:ascii="Arial" w:cs="Arial" w:eastAsia="Arial" w:hAnsi="Arial"/>
          <w:b/>
          <w:bCs/>
          <w:sz w:val="22"/>
          <w:szCs w:val="22"/>
        </w:rPr>
        <w:t xml:space="preserve">A named, quantified input-cost problem is already flagged for FY2027. </w:t>
      </w:r>
      <w:r>
        <w:rPr>
          <w:rFonts w:ascii="Arial" w:cs="Arial" w:eastAsia="Arial" w:hAnsi="Arial"/>
          <w:sz w:val="22"/>
          <w:szCs w:val="22"/>
        </w:rPr>
        <w:t xml:space="preserve">Large suppliers have discontinued certain DRAM chips used in KLA's products, and the resulting shortage "caused a dramatic increase in the prices" to acquire them. KLA states plainly: "We estimate that the additional costs to procure these DRAM chips will continue to have an adverse impact on our gross margin in fiscal 2027." Purchase commitments stand at $5.97bn, up partly on this. Separately, China's October 2025 rare-earth controls apply to foreign-made items containing Chinese-origin rare earths above 0.1% of item value and explicitly name permanent magnets and sputtering targets — both inputs to semiconductor capital equipment. No equipment maker has disclosed a quantified impact.</w:t>
      </w:r>
    </w:p>
    <w:p>
      <w:pPr>
        <w:pStyle w:val="ListParagraph"/>
        <w:numPr>
          <w:ilvl w:val="0"/>
          <w:numId w:val="2"/>
        </w:numPr>
        <w:spacing w:after="100" w:line="276"/>
      </w:pPr>
      <w:r>
        <w:rPr>
          <w:rFonts w:ascii="Arial" w:cs="Arial" w:eastAsia="Arial" w:hAnsi="Arial"/>
          <w:b/>
          <w:bCs/>
          <w:sz w:val="22"/>
          <w:szCs w:val="22"/>
        </w:rPr>
        <w:t xml:space="preserve">Impairment history sits in the smaller segments. </w:t>
      </w:r>
      <w:r>
        <w:rPr>
          <w:rFonts w:ascii="Arial" w:cs="Arial" w:eastAsia="Arial" w:hAnsi="Arial"/>
          <w:sz w:val="22"/>
          <w:szCs w:val="22"/>
        </w:rPr>
        <w:t xml:space="preserve">$289m in FY2024 and $239m in FY2025, both in the PCB and Display businesses. The FY2025 disclosure noted that a 10% lower reporting-unit fair value would have produced roughly $50m more. FY2026 carried none, which flatters the year-over-year comparison.</w:t>
      </w:r>
    </w:p>
    <w:p>
      <w:pPr>
        <w:pStyle w:val="Heading2"/>
      </w:pPr>
      <w:r>
        <w:t xml:space="preserve">What the sources could not answer</w:t>
      </w:r>
    </w:p>
    <w:p>
      <w:pPr>
        <w:spacing w:after="140" w:line="276"/>
      </w:pPr>
      <w:r>
        <w:rPr>
          <w:rFonts w:ascii="Arial" w:cs="Arial" w:eastAsia="Arial" w:hAnsi="Arial"/>
          <w:sz w:val="22"/>
          <w:szCs w:val="22"/>
        </w:rPr>
        <w:t xml:space="preserve">These are findings, not omissions. Each would materially sharpen a view of the business.</w:t>
      </w:r>
    </w:p>
    <w:p>
      <w:pPr>
        <w:pStyle w:val="ListParagraph"/>
        <w:numPr>
          <w:ilvl w:val="0"/>
          <w:numId w:val="2"/>
        </w:numPr>
        <w:spacing w:after="100" w:line="276"/>
      </w:pPr>
      <w:r>
        <w:rPr>
          <w:rFonts w:ascii="Arial" w:cs="Arial" w:eastAsia="Arial" w:hAnsi="Arial"/>
          <w:sz w:val="22"/>
          <w:szCs w:val="22"/>
        </w:rPr>
        <w:t xml:space="preserve">Installed base size, average selling price per tool, service attach rate and service contract length — none disclosed in any KLA filing. Without them the unit economics can be described but not quantified, and the durability of the service annuity cannot be tested against contracted versus transactional revenue.</w:t>
      </w:r>
    </w:p>
    <w:p>
      <w:pPr>
        <w:pStyle w:val="ListParagraph"/>
        <w:numPr>
          <w:ilvl w:val="0"/>
          <w:numId w:val="2"/>
        </w:numPr>
        <w:spacing w:after="100" w:line="276"/>
      </w:pPr>
      <w:r>
        <w:rPr>
          <w:rFonts w:ascii="Arial" w:cs="Arial" w:eastAsia="Arial" w:hAnsi="Arial"/>
          <w:sz w:val="22"/>
          <w:szCs w:val="22"/>
        </w:rPr>
        <w:t xml:space="preserve">Process control as a share of wafer fab equipment, over time. No independent publisher produces this series. It is the single figure that would confirm or refute the central claim that process control intensity is rising — and on the crude available comparison, KLA's revenue grew about 38% from FY2024 to FY2026 while WFE grew about 42% from 2024 to 2026, which does not obviously demonstrate share gain, though the fiscal-calendar mismatch and China headwind make the comparison unreliable.</w:t>
      </w:r>
    </w:p>
    <w:p>
      <w:pPr>
        <w:pStyle w:val="ListParagraph"/>
        <w:numPr>
          <w:ilvl w:val="0"/>
          <w:numId w:val="2"/>
        </w:numPr>
        <w:spacing w:after="100" w:line="276"/>
      </w:pPr>
      <w:r>
        <w:rPr>
          <w:rFonts w:ascii="Arial" w:cs="Arial" w:eastAsia="Arial" w:hAnsi="Arial"/>
          <w:sz w:val="22"/>
          <w:szCs w:val="22"/>
        </w:rPr>
        <w:t xml:space="preserve">The dollar size of the process control market from any source other than KLA citing Gartner, and Applied Materials' process control revenue, which it has never broken out. Without them KLA's 58% share and "seven times the nearest competitor" can be bounded but not verified.</w:t>
      </w:r>
    </w:p>
    <w:p>
      <w:pPr>
        <w:pStyle w:val="ListParagraph"/>
        <w:numPr>
          <w:ilvl w:val="0"/>
          <w:numId w:val="2"/>
        </w:numPr>
        <w:spacing w:after="100" w:line="276"/>
      </w:pPr>
      <w:r>
        <w:rPr>
          <w:rFonts w:ascii="Arial" w:cs="Arial" w:eastAsia="Arial" w:hAnsi="Arial"/>
          <w:sz w:val="22"/>
          <w:szCs w:val="22"/>
        </w:rPr>
        <w:t xml:space="preserve">The process control dollars added per wafer by gate-all-around, backside power delivery or High-NA EUV. The mechanism is clear; no source quantifies it.</w:t>
      </w:r>
    </w:p>
    <w:p>
      <w:pPr>
        <w:pStyle w:val="ListParagraph"/>
        <w:numPr>
          <w:ilvl w:val="0"/>
          <w:numId w:val="2"/>
        </w:numPr>
        <w:spacing w:after="100" w:line="276"/>
      </w:pPr>
      <w:r>
        <w:rPr>
          <w:rFonts w:ascii="Arial" w:cs="Arial" w:eastAsia="Arial" w:hAnsi="Arial"/>
          <w:sz w:val="22"/>
          <w:szCs w:val="22"/>
        </w:rPr>
        <w:t xml:space="preserve">The revenue KLA has actually lost to export controls, and how much of its China revenue is serviceable under the current rules versus at risk if the Affiliates Rule reimposes.</w:t>
      </w:r>
    </w:p>
    <w:p>
      <w:pPr>
        <w:pStyle w:val="ListParagraph"/>
        <w:numPr>
          <w:ilvl w:val="0"/>
          <w:numId w:val="2"/>
        </w:numPr>
        <w:spacing w:after="100" w:line="276"/>
      </w:pPr>
      <w:r>
        <w:rPr>
          <w:rFonts w:ascii="Arial" w:cs="Arial" w:eastAsia="Arial" w:hAnsi="Arial"/>
          <w:sz w:val="22"/>
          <w:szCs w:val="22"/>
        </w:rPr>
        <w:t xml:space="preserve">KLA's pricing mechanism — how prices are set, how often they move, and what happened to price in the FY2024 volume decline. Neither the filings nor the earnings releases address it, so the volume/price/mix decomposition of growth cannot be completed.</w:t>
      </w:r>
    </w:p>
    <w:p>
      <w:pPr>
        <w:pStyle w:val="ListParagraph"/>
        <w:numPr>
          <w:ilvl w:val="0"/>
          <w:numId w:val="2"/>
        </w:numPr>
        <w:spacing w:after="100" w:line="276"/>
      </w:pPr>
      <w:r>
        <w:rPr>
          <w:rFonts w:ascii="Arial" w:cs="Arial" w:eastAsia="Arial" w:hAnsi="Arial"/>
          <w:sz w:val="22"/>
          <w:szCs w:val="22"/>
        </w:rPr>
        <w:t xml:space="preserve">The revised figures behind the "adjusted guidance" KLA refers to for the March 2024 quarter, and the reason for the revision. Neither appears in any release, which leaves the one quarter in twenty-four whose beat cannot be independently verified.</w:t>
      </w:r>
    </w:p>
    <w:p>
      <w:pPr>
        <w:pStyle w:val="ListParagraph"/>
        <w:numPr>
          <w:ilvl w:val="0"/>
          <w:numId w:val="2"/>
        </w:numPr>
        <w:spacing w:after="100" w:line="276"/>
      </w:pPr>
      <w:r>
        <w:rPr>
          <w:rFonts w:ascii="Arial" w:cs="Arial" w:eastAsia="Arial" w:hAnsi="Arial"/>
          <w:sz w:val="22"/>
          <w:szCs w:val="22"/>
        </w:rPr>
        <w:t xml:space="preserve">Guidance history before October 2020. KLA did not print a numeric guide in the earnings release itself until then, so the entire 2019 downcycle cannot be scored for guidance-versus-delivery from these documents — it would require the call transcripts, which the archive does not hold.</w:t>
      </w:r>
    </w:p>
    <w:p>
      <w:pPr>
        <w:pStyle w:val="ListParagraph"/>
        <w:numPr>
          <w:ilvl w:val="0"/>
          <w:numId w:val="2"/>
        </w:numPr>
        <w:spacing w:after="100" w:line="276"/>
      </w:pPr>
      <w:r>
        <w:rPr>
          <w:rFonts w:ascii="Arial" w:cs="Arial" w:eastAsia="Arial" w:hAnsi="Arial"/>
          <w:sz w:val="22"/>
          <w:szCs w:val="22"/>
        </w:rPr>
        <w:t xml:space="preserve">Four earnings releases remain missing from the archive — the FY2017, FY2018, FY2019 and FY2020 fourth-quarter releases — because EDGAR filed them under a naming convention the collector did not match. They carry the full-year results and management commentary for the prior cycle, including the June 2019 trough quarter.</w:t>
      </w:r>
    </w:p>
    <w:p>
      <w:r>
        <w:br w:type="page"/>
      </w:r>
    </w:p>
    <w:p>
      <w:pPr>
        <w:pStyle w:val="Heading1"/>
      </w:pPr>
      <w:r>
        <w:t xml:space="preserve">8. Investor Takeaways</w:t>
      </w:r>
    </w:p>
    <w:p>
      <w:pPr>
        <w:pStyle w:val="ListParagraph"/>
        <w:numPr>
          <w:ilvl w:val="0"/>
          <w:numId w:val="2"/>
        </w:numPr>
        <w:spacing w:after="100" w:line="276"/>
      </w:pPr>
      <w:r>
        <w:rPr>
          <w:rFonts w:ascii="Arial" w:cs="Arial" w:eastAsia="Arial" w:hAnsi="Arial"/>
          <w:sz w:val="22"/>
          <w:szCs w:val="22"/>
        </w:rPr>
        <w:t xml:space="preserve">KLA sells information, not transformation: it is the dominant supplier of the tools that find and measure defects between the steps that build a chip, in a market of five buyers whose fabs now cost $17.5bn to tool at 2nm.</w:t>
      </w:r>
    </w:p>
    <w:p>
      <w:pPr>
        <w:pStyle w:val="ListParagraph"/>
        <w:numPr>
          <w:ilvl w:val="0"/>
          <w:numId w:val="2"/>
        </w:numPr>
        <w:spacing w:after="100" w:line="276"/>
      </w:pPr>
      <w:r>
        <w:rPr>
          <w:rFonts w:ascii="Arial" w:cs="Arial" w:eastAsia="Arial" w:hAnsi="Arial"/>
          <w:sz w:val="22"/>
          <w:szCs w:val="22"/>
        </w:rPr>
        <w:t xml:space="preserve">The economic engine is R&amp;D scale amortised over an installed base. A $1.53bn R&amp;D budget at 11.3% of revenue against pure-play rivals spending 13–32% of much smaller revenue is the entire explanation for a 41.7% operating margin against Onto's 13.2%.</w:t>
      </w:r>
    </w:p>
    <w:p>
      <w:pPr>
        <w:pStyle w:val="ListParagraph"/>
        <w:numPr>
          <w:ilvl w:val="0"/>
          <w:numId w:val="2"/>
        </w:numPr>
        <w:spacing w:after="100" w:line="276"/>
      </w:pPr>
      <w:r>
        <w:rPr>
          <w:rFonts w:ascii="Arial" w:cs="Arial" w:eastAsia="Arial" w:hAnsi="Arial"/>
          <w:sz w:val="22"/>
          <w:szCs w:val="22"/>
        </w:rPr>
        <w:t xml:space="preserve">The main growth lever is rising measurement content per wafer as node architectures add dimensions — structural — riding on a leading-edge capital cycle that is currently at a peak and is not.</w:t>
      </w:r>
    </w:p>
    <w:p>
      <w:pPr>
        <w:pStyle w:val="ListParagraph"/>
        <w:numPr>
          <w:ilvl w:val="0"/>
          <w:numId w:val="2"/>
        </w:numPr>
        <w:spacing w:after="100" w:line="276"/>
      </w:pPr>
      <w:r>
        <w:rPr>
          <w:rFonts w:ascii="Arial" w:cs="Arial" w:eastAsia="Arial" w:hAnsi="Arial"/>
          <w:sz w:val="22"/>
          <w:szCs w:val="22"/>
        </w:rPr>
        <w:t xml:space="preserve">What could break the story is not a better tool from a rival but the erosion of the base that funds the roadmap: China at 29.8% of revenue and falling, domestic substitution advancing at 28nm, and an export-control regime whose licensing rule makes rival capability self-reinforcing.</w:t>
      </w:r>
    </w:p>
    <w:p>
      <w:pPr>
        <w:pStyle w:val="ListParagraph"/>
        <w:numPr>
          <w:ilvl w:val="0"/>
          <w:numId w:val="2"/>
        </w:numPr>
        <w:spacing w:after="100" w:line="276"/>
      </w:pPr>
      <w:r>
        <w:rPr>
          <w:rFonts w:ascii="Arial" w:cs="Arial" w:eastAsia="Arial" w:hAnsi="Arial"/>
          <w:sz w:val="22"/>
          <w:szCs w:val="22"/>
        </w:rPr>
        <w:t xml:space="preserve">Management guides to be beaten: revenue has landed above the guided midpoint in all 24 quarters on file, by an average of 3.1%, and beat by more during the downturn than the recovery. Read the September 2026 guide of $4.0bn accordingly.</w:t>
      </w:r>
    </w:p>
    <w:p>
      <w:pPr>
        <w:pStyle w:val="ListParagraph"/>
        <w:numPr>
          <w:ilvl w:val="0"/>
          <w:numId w:val="2"/>
        </w:numPr>
        <w:spacing w:after="100" w:line="276"/>
      </w:pPr>
      <w:r>
        <w:rPr>
          <w:rFonts w:ascii="Arial" w:cs="Arial" w:eastAsia="Arial" w:hAnsi="Arial"/>
          <w:sz w:val="22"/>
          <w:szCs w:val="22"/>
        </w:rPr>
        <w:t xml:space="preserve">Monitor China revenue percentage, service revenue growth in the next down quarter, R&amp;D as a percentage of revenue, and whether the Affiliates Rule is extended before 9 November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3864"/>
      <w:sz w:val="32"/>
      <w:szCs w:val="32"/>
    </w:rPr>
  </w:style>
  <w:style w:type="paragraph" w:styleId="Heading2">
    <w:name w:val="Heading 2"/>
    <w:basedOn w:val="Normal"/>
    <w:next w:val="Normal"/>
    <w:qFormat/>
    <w:pPr>
      <w:spacing w:after="180" w:before="180"/>
    </w:pPr>
    <w:rPr>
      <w:rFonts w:ascii="Arial" w:cs="Arial" w:eastAsia="Arial" w:hAnsi="Arial"/>
      <w:b/>
      <w:bCs/>
      <w:color w:val="1F3864"/>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KLA Corporation</dc:title>
  <dc:creator>Equity Research</dc:creator>
  <cp:lastModifiedBy>Un-named</cp:lastModifiedBy>
  <cp:revision>1</cp:revision>
  <dcterms:created xsi:type="dcterms:W3CDTF">2026-09-05T13:20:44.610Z</dcterms:created>
  <dcterms:modified xsi:type="dcterms:W3CDTF">2026-09-05T13:20:44.615Z</dcterms:modified>
</cp:coreProperties>
</file>

<file path=docProps/custom.xml><?xml version="1.0" encoding="utf-8"?>
<Properties xmlns="http://schemas.openxmlformats.org/officeDocument/2006/custom-properties" xmlns:vt="http://schemas.openxmlformats.org/officeDocument/2006/docPropsVTypes"/>
</file>