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667085"/>
          <w:sz w:val="18"/>
          <w:szCs w:val="18"/>
        </w:rPr>
        <w:t xml:space="preserve">BULL &amp; BEAR MEMO</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1980"/>
        <w:gridCol w:w="7380"/>
      </w:tblGrid>
      <w:tr>
        <w:trPr>
          <w:cantSplit/>
        </w:trPr>
        <w:tc>
          <w:tcPr>
            <w:tcW w:type="dxa" w:w="1980"/>
            <w:shd w:fill="F2F4F7" w:color="auto" w:val="clear"/>
            <w:tcMar>
              <w:top w:type="dxa" w:w="80"/>
              <w:left w:type="dxa" w:w="110"/>
              <w:bottom w:type="dxa" w:w="80"/>
              <w:right w:type="dxa" w:w="110"/>
            </w:tcMar>
          </w:tcPr>
          <w:p>
            <w:pPr>
              <w:spacing w:after="0" w:line="260"/>
            </w:pPr>
            <w:r>
              <w:rPr>
                <w:rFonts w:ascii="Calibri" w:cs="Calibri" w:eastAsia="Calibri" w:hAnsi="Calibri"/>
                <w:b/>
                <w:bCs/>
                <w:color w:val="344054"/>
                <w:sz w:val="19"/>
                <w:szCs w:val="19"/>
              </w:rPr>
              <w:t xml:space="preserve">company</w:t>
            </w:r>
          </w:p>
        </w:tc>
        <w:tc>
          <w:tcPr>
            <w:tcW w:type="dxa" w:w="738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Arm Holdings plc (Nasdaq: ARM)</w:t>
            </w:r>
          </w:p>
        </w:tc>
      </w:tr>
      <w:tr>
        <w:trPr>
          <w:cantSplit/>
        </w:trPr>
        <w:tc>
          <w:tcPr>
            <w:tcW w:type="dxa" w:w="1980"/>
            <w:shd w:fill="F2F4F7" w:color="auto" w:val="clear"/>
            <w:tcMar>
              <w:top w:type="dxa" w:w="80"/>
              <w:left w:type="dxa" w:w="110"/>
              <w:bottom w:type="dxa" w:w="80"/>
              <w:right w:type="dxa" w:w="110"/>
            </w:tcMar>
          </w:tcPr>
          <w:p>
            <w:pPr>
              <w:spacing w:after="0" w:line="260"/>
            </w:pPr>
            <w:r>
              <w:rPr>
                <w:rFonts w:ascii="Calibri" w:cs="Calibri" w:eastAsia="Calibri" w:hAnsi="Calibri"/>
                <w:b/>
                <w:bCs/>
                <w:color w:val="344054"/>
                <w:sz w:val="19"/>
                <w:szCs w:val="19"/>
              </w:rPr>
              <w:t xml:space="preserve">sources used</w:t>
            </w:r>
          </w:p>
        </w:tc>
        <w:tc>
          <w:tcPr>
            <w:tcW w:type="dxa" w:w="738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Company: FY2026 20-F (year ended 31 Mar 2026); FY2027 Q1 interim 6-K (quarter ended 30 Jun 2026); shareholder letters of 6 May 2026 and 29 Jul 2026; press release of 24 Mar 2026 (Arm AGI CPU launch). Outside sources are used only in section 5 and listed there.</w:t>
            </w:r>
          </w:p>
        </w:tc>
      </w:tr>
      <w:tr>
        <w:trPr>
          <w:cantSplit/>
        </w:trPr>
        <w:tc>
          <w:tcPr>
            <w:tcW w:type="dxa" w:w="1980"/>
            <w:shd w:fill="F2F4F7" w:color="auto" w:val="clear"/>
            <w:tcMar>
              <w:top w:type="dxa" w:w="80"/>
              <w:left w:type="dxa" w:w="110"/>
              <w:bottom w:type="dxa" w:w="80"/>
              <w:right w:type="dxa" w:w="110"/>
            </w:tcMar>
          </w:tcPr>
          <w:p>
            <w:pPr>
              <w:spacing w:after="0" w:line="260"/>
            </w:pPr>
            <w:r>
              <w:rPr>
                <w:rFonts w:ascii="Calibri" w:cs="Calibri" w:eastAsia="Calibri" w:hAnsi="Calibri"/>
                <w:b/>
                <w:bCs/>
                <w:color w:val="344054"/>
                <w:sz w:val="19"/>
                <w:szCs w:val="19"/>
              </w:rPr>
              <w:t xml:space="preserve">latest period</w:t>
            </w:r>
          </w:p>
        </w:tc>
        <w:tc>
          <w:tcPr>
            <w:tcW w:type="dxa" w:w="738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Q1 FY2027 — quarter ended 30 June 2026</w:t>
            </w:r>
          </w:p>
        </w:tc>
      </w:tr>
      <w:tr>
        <w:trPr>
          <w:cantSplit/>
        </w:trPr>
        <w:tc>
          <w:tcPr>
            <w:tcW w:type="dxa" w:w="1980"/>
            <w:shd w:fill="F2F4F7" w:color="auto" w:val="clear"/>
            <w:tcMar>
              <w:top w:type="dxa" w:w="80"/>
              <w:left w:type="dxa" w:w="110"/>
              <w:bottom w:type="dxa" w:w="80"/>
              <w:right w:type="dxa" w:w="110"/>
            </w:tcMar>
          </w:tcPr>
          <w:p>
            <w:pPr>
              <w:spacing w:after="0" w:line="260"/>
            </w:pPr>
            <w:r>
              <w:rPr>
                <w:rFonts w:ascii="Calibri" w:cs="Calibri" w:eastAsia="Calibri" w:hAnsi="Calibri"/>
                <w:b/>
                <w:bCs/>
                <w:color w:val="344054"/>
                <w:sz w:val="19"/>
                <w:szCs w:val="19"/>
              </w:rPr>
              <w:t xml:space="preserve">missing or stale data</w:t>
            </w:r>
          </w:p>
        </w:tc>
        <w:tc>
          <w:tcPr>
            <w:tcW w:type="dxa" w:w="738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No earnings-call transcripts, investor-day materials or usable insider-trading data in the source set. Armv9 share of royalty, royalty per chip, AGI CPU pricing, gross margin and wafer commitments are not disclosed. Company sources stop at 29 July 2026; external challenge run 10 September 2026.</w:t>
            </w:r>
          </w:p>
        </w:tc>
      </w:tr>
    </w:tbl>
    <w:p>
      <w:pPr>
        <w:pStyle w:val="Title"/>
        <w:spacing w:after="0" w:before="320"/>
      </w:pPr>
      <w:r>
        <w:rPr>
          <w:rFonts w:ascii="Calibri" w:cs="Calibri" w:eastAsia="Calibri" w:hAnsi="Calibri"/>
          <w:b/>
          <w:bCs/>
          <w:color w:val="101828"/>
          <w:sz w:val="40"/>
          <w:szCs w:val="40"/>
        </w:rPr>
        <w:t xml:space="preserve">Arm Holdings — Bull &amp; Bear Memo</w:t>
      </w:r>
    </w:p>
    <w:p>
      <w:pPr>
        <w:pBdr>
          <w:bottom w:val="single" w:color="D0D5DD" w:sz="6" w:space="6"/>
        </w:pBdr>
        <w:spacing w:after="240"/>
      </w:pPr>
      <w:r>
        <w:rPr>
          <w:rFonts w:ascii="Calibri" w:cs="Calibri" w:eastAsia="Calibri" w:hAnsi="Calibri"/>
          <w:i/>
          <w:iCs/>
          <w:color w:val="667085"/>
          <w:sz w:val="20"/>
          <w:szCs w:val="20"/>
        </w:rPr>
        <w:t xml:space="preserve">A thinking anchor, not a valuation or a recommendation.</w:t>
      </w:r>
    </w:p>
    <w:p>
      <w:pPr>
        <w:pStyle w:val="Heading1"/>
        <w:spacing w:after="150" w:before="280"/>
      </w:pPr>
      <w:r>
        <w:rPr>
          <w:rFonts w:ascii="Calibri" w:cs="Calibri" w:eastAsia="Calibri" w:hAnsi="Calibri"/>
          <w:b/>
          <w:bCs/>
          <w:color w:val="101828"/>
          <w:sz w:val="30"/>
          <w:szCs w:val="30"/>
        </w:rPr>
        <w:t xml:space="preserve">1. Business in one line</w:t>
      </w:r>
    </w:p>
    <w:p>
      <w:pPr>
        <w:spacing w:after="120" w:line="276"/>
      </w:pPr>
      <w:r>
        <w:rPr>
          <w:rFonts w:ascii="Calibri" w:cs="Calibri" w:eastAsia="Calibri" w:hAnsi="Calibri"/>
          <w:color w:val="1D2939"/>
          <w:sz w:val="21"/>
          <w:szCs w:val="21"/>
        </w:rPr>
        <w:t xml:space="preserve">Arm licenses CPU architecture and processor designs to chipmakers for an upfront fee, then collects a per-chip royalty — a percentage of the chip's selling price, or a fixed fee per unit — on substantially every chip shipped, for as long as it ships. Since March 2026 it also sells a data-center CPU of its own. FY2026 revenue: $4,920m — $2,613m royalty, $2,307m license and other, at a 98% gross margin.</w:t>
      </w:r>
    </w:p>
    <w:p>
      <w:pPr>
        <w:spacing w:after="120" w:line="276"/>
      </w:pPr>
      <w:r>
        <w:rPr>
          <w:rFonts w:ascii="Calibri" w:cs="Calibri" w:eastAsia="Calibri" w:hAnsi="Calibri"/>
          <w:color w:val="1D2939"/>
          <w:sz w:val="21"/>
          <w:szCs w:val="21"/>
        </w:rPr>
        <w:t xml:space="preserve">Type: fast grower — three consecutive years above 20% revenue growth since the IPO — sitting on a cyclical royalty base whose units track the semiconductor cycle. The classification matters because Arm has no unit share left to win in its largest market: the bull case must be a pricing story, not a volume story.</w:t>
      </w:r>
    </w:p>
    <w:p>
      <w:pPr>
        <w:pStyle w:val="Heading1"/>
        <w:spacing w:after="150" w:before="280"/>
      </w:pPr>
      <w:r>
        <w:rPr>
          <w:rFonts w:ascii="Calibri" w:cs="Calibri" w:eastAsia="Calibri" w:hAnsi="Calibri"/>
          <w:b/>
          <w:bCs/>
          <w:color w:val="101828"/>
          <w:sz w:val="30"/>
          <w:szCs w:val="30"/>
        </w:rPr>
        <w:t xml:space="preserve">2. Bull case — Peter Lynch pitch</w:t>
      </w:r>
    </w:p>
    <w:p>
      <w:pPr>
        <w:spacing w:after="200" w:line="276"/>
      </w:pPr>
      <w:r>
        <w:rPr>
          <w:rFonts w:ascii="Calibri" w:cs="Calibri" w:eastAsia="Calibri" w:hAnsi="Calibri"/>
          <w:i/>
          <w:iCs/>
          <w:color w:val="1D2939"/>
          <w:sz w:val="21"/>
          <w:szCs w:val="21"/>
        </w:rPr>
        <w:t xml:space="preserve">The simple reason this stock could work is that Arm gets paid more each year for the same chip, and has just opened two new ways to get paid for chips it previously only rented cores to.</w:t>
      </w:r>
    </w:p>
    <w:p>
      <w:pPr>
        <w:pStyle w:val="Heading2"/>
        <w:spacing w:after="110" w:before="220"/>
      </w:pPr>
      <w:r>
        <w:rPr>
          <w:rFonts w:ascii="Calibri" w:cs="Calibri" w:eastAsia="Calibri" w:hAnsi="Calibri"/>
          <w:b/>
          <w:bCs/>
          <w:color w:val="101828"/>
          <w:sz w:val="23"/>
          <w:szCs w:val="23"/>
        </w:rPr>
        <w:t xml:space="preserve">B1. Royalty per chip rises faster than the unit base decays</w:t>
      </w:r>
    </w:p>
    <w:p>
      <w:pPr>
        <w:spacing w:after="100" w:line="276"/>
        <w:ind w:left="288"/>
      </w:pPr>
      <w:r>
        <w:rPr>
          <w:rFonts w:ascii="Calibri" w:cs="Calibri" w:eastAsia="Calibri" w:hAnsi="Calibri"/>
          <w:b/>
          <w:bCs/>
          <w:color w:val="1D2939"/>
          <w:sz w:val="21"/>
          <w:szCs w:val="21"/>
        </w:rPr>
        <w:t xml:space="preserve">What must happen — </w:t>
      </w:r>
      <w:r>
        <w:rPr>
          <w:rFonts w:ascii="Calibri" w:cs="Calibri" w:eastAsia="Calibri" w:hAnsi="Calibri"/>
          <w:color w:val="1D2939"/>
          <w:sz w:val="21"/>
          <w:szCs w:val="21"/>
        </w:rPr>
        <w:t xml:space="preserve">Mix shift toward Armv9 and Arm Compute Subsystems lifts average royalty per chip fast enough that royalty compounds above 20% on a roughly flat unit base.</w:t>
      </w:r>
    </w:p>
    <w:p>
      <w:pPr>
        <w:spacing w:after="100" w:line="276"/>
        <w:ind w:left="288"/>
      </w:pPr>
      <w:r>
        <w:rPr>
          <w:rFonts w:ascii="Calibri" w:cs="Calibri" w:eastAsia="Calibri" w:hAnsi="Calibri"/>
          <w:b/>
          <w:bCs/>
          <w:color w:val="1D2939"/>
          <w:sz w:val="21"/>
          <w:szCs w:val="21"/>
        </w:rPr>
        <w:t xml:space="preserve">Why Arm specifically — </w:t>
      </w:r>
      <w:r>
        <w:rPr>
          <w:rFonts w:ascii="Calibri" w:cs="Calibri" w:eastAsia="Calibri" w:hAnsi="Calibri"/>
          <w:color w:val="1D2939"/>
          <w:sz w:val="21"/>
          <w:szCs w:val="21"/>
        </w:rPr>
        <w:t xml:space="preserve">Royalty rates step up with how much Arm content sits in the chip, and every key mobile operating system depends on Arm cores. A customer who wants a cheaper royalty has to move a software ecosystem, not swap a core — the switching cost sits with the customer, the price increase with Arm.</w:t>
      </w:r>
    </w:p>
    <w:p>
      <w:pPr>
        <w:spacing w:after="100" w:line="276"/>
        <w:ind w:left="288"/>
      </w:pPr>
      <w:r>
        <w:rPr>
          <w:rFonts w:ascii="Calibri" w:cs="Calibri" w:eastAsia="Calibri" w:hAnsi="Calibri"/>
          <w:b/>
          <w:bCs/>
          <w:color w:val="1D2939"/>
          <w:sz w:val="21"/>
          <w:szCs w:val="21"/>
        </w:rPr>
        <w:t xml:space="preserve">Evidence — </w:t>
      </w:r>
      <w:r>
        <w:rPr>
          <w:rFonts w:ascii="Calibri" w:cs="Calibri" w:eastAsia="Calibri" w:hAnsi="Calibri"/>
          <w:color w:val="1D2939"/>
          <w:sz w:val="21"/>
          <w:szCs w:val="21"/>
        </w:rPr>
        <w:t xml:space="preserve">Royalty of $2,613m in FY2026, +21%, attributed in the 20-F to “an improved mix of products with higher royalty rates per chip, such as Armv9 technology”; +22% to $715m in Q1 FY2027. Mobile applications processors, where Arm has held above 99% share for years, are still 43% of royalty — that share cannot grow, so the growth is rate.</w:t>
      </w:r>
    </w:p>
    <w:p>
      <w:pPr>
        <w:spacing w:after="160" w:line="276"/>
        <w:ind w:left="288"/>
      </w:pPr>
      <w:r>
        <w:rPr>
          <w:rFonts w:ascii="Calibri" w:cs="Calibri" w:eastAsia="Calibri" w:hAnsi="Calibri"/>
          <w:b/>
          <w:bCs/>
          <w:color w:val="1D2939"/>
          <w:sz w:val="21"/>
          <w:szCs w:val="21"/>
        </w:rPr>
        <w:t xml:space="preserve">What to monitor — </w:t>
      </w:r>
      <w:r>
        <w:rPr>
          <w:rFonts w:ascii="Calibri" w:cs="Calibri" w:eastAsia="Calibri" w:hAnsi="Calibri"/>
          <w:color w:val="1D2939"/>
          <w:sz w:val="21"/>
          <w:szCs w:val="21"/>
        </w:rPr>
        <w:t xml:space="preserve">Royalty growth versus industry unit growth; mobile's falling share of total royalty.</w:t>
      </w:r>
    </w:p>
    <w:p>
      <w:pPr>
        <w:pStyle w:val="Heading2"/>
        <w:spacing w:after="110" w:before="220"/>
      </w:pPr>
      <w:r>
        <w:rPr>
          <w:rFonts w:ascii="Calibri" w:cs="Calibri" w:eastAsia="Calibri" w:hAnsi="Calibri"/>
          <w:b/>
          <w:bCs/>
          <w:color w:val="101828"/>
          <w:sz w:val="23"/>
          <w:szCs w:val="23"/>
        </w:rPr>
        <w:t xml:space="preserve">B2. The data center becomes a second royalty pool of comparable size</w:t>
      </w:r>
    </w:p>
    <w:p>
      <w:pPr>
        <w:spacing w:after="100" w:line="276"/>
        <w:ind w:left="288"/>
      </w:pPr>
      <w:r>
        <w:rPr>
          <w:rFonts w:ascii="Calibri" w:cs="Calibri" w:eastAsia="Calibri" w:hAnsi="Calibri"/>
          <w:b/>
          <w:bCs/>
          <w:color w:val="1D2939"/>
          <w:sz w:val="21"/>
          <w:szCs w:val="21"/>
        </w:rPr>
        <w:t xml:space="preserve">What must happen — </w:t>
      </w:r>
      <w:r>
        <w:rPr>
          <w:rFonts w:ascii="Calibri" w:cs="Calibri" w:eastAsia="Calibri" w:hAnsi="Calibri"/>
          <w:color w:val="1D2939"/>
          <w:sz w:val="21"/>
          <w:szCs w:val="21"/>
        </w:rPr>
        <w:t xml:space="preserve">Hyperscaler in-house Arm CPUs keep displacing x86 sockets, each carrying a far larger royalty than a phone.</w:t>
      </w:r>
    </w:p>
    <w:p>
      <w:pPr>
        <w:spacing w:after="100" w:line="276"/>
        <w:ind w:left="288"/>
      </w:pPr>
      <w:r>
        <w:rPr>
          <w:rFonts w:ascii="Calibri" w:cs="Calibri" w:eastAsia="Calibri" w:hAnsi="Calibri"/>
          <w:b/>
          <w:bCs/>
          <w:color w:val="1D2939"/>
          <w:sz w:val="21"/>
          <w:szCs w:val="21"/>
        </w:rPr>
        <w:t xml:space="preserve">Why Arm specifically — </w:t>
      </w:r>
      <w:r>
        <w:rPr>
          <w:rFonts w:ascii="Calibri" w:cs="Calibri" w:eastAsia="Calibri" w:hAnsi="Calibri"/>
          <w:color w:val="1D2939"/>
          <w:sz w:val="21"/>
          <w:szCs w:val="21"/>
        </w:rPr>
        <w:t xml:space="preserve">Royalty is a percentage of chip ASP or a fee that scales with content, so a 100-core server CPU pays a multiple of a smartphone SoC — and every AI accelerator still needs a host CPU.</w:t>
      </w:r>
    </w:p>
    <w:p>
      <w:pPr>
        <w:spacing w:after="100" w:line="276"/>
        <w:ind w:left="288"/>
      </w:pPr>
      <w:r>
        <w:rPr>
          <w:rFonts w:ascii="Calibri" w:cs="Calibri" w:eastAsia="Calibri" w:hAnsi="Calibri"/>
          <w:b/>
          <w:bCs/>
          <w:color w:val="1D2939"/>
          <w:sz w:val="21"/>
          <w:szCs w:val="21"/>
        </w:rPr>
        <w:t xml:space="preserve">Evidence — </w:t>
      </w:r>
      <w:r>
        <w:rPr>
          <w:rFonts w:ascii="Calibri" w:cs="Calibri" w:eastAsia="Calibri" w:hAnsi="Calibri"/>
          <w:color w:val="1D2939"/>
          <w:sz w:val="21"/>
          <w:szCs w:val="21"/>
        </w:rPr>
        <w:t xml:space="preserve">Data-center royalties more than doubled year over year in Q1 FY2027. Cumulative Neoverse shipments passed 1.5 billion cores — the most recent 500 million in nine months, against six years for the first billion. Named programs: NVIDIA Vera in full production, Google Axion hosting its TPU systems, AWS Graviton5 under a multi-year Meta agreement, Azure Cobalt 200, Qualcomm Dragonfly C1000.</w:t>
      </w:r>
    </w:p>
    <w:p>
      <w:pPr>
        <w:spacing w:after="160" w:line="276"/>
        <w:ind w:left="288"/>
      </w:pPr>
      <w:r>
        <w:rPr>
          <w:rFonts w:ascii="Calibri" w:cs="Calibri" w:eastAsia="Calibri" w:hAnsi="Calibri"/>
          <w:b/>
          <w:bCs/>
          <w:color w:val="1D2939"/>
          <w:sz w:val="21"/>
          <w:szCs w:val="21"/>
        </w:rPr>
        <w:t xml:space="preserve">What to monitor — </w:t>
      </w:r>
      <w:r>
        <w:rPr>
          <w:rFonts w:ascii="Calibri" w:cs="Calibri" w:eastAsia="Calibri" w:hAnsi="Calibri"/>
          <w:color w:val="1D2939"/>
          <w:sz w:val="21"/>
          <w:szCs w:val="21"/>
        </w:rPr>
        <w:t xml:space="preserve">Data-center royalty growth rate; Neoverse cumulative-core milestones; any named hyperscaler program slipping.</w:t>
      </w:r>
    </w:p>
    <w:p>
      <w:pPr>
        <w:pStyle w:val="Heading2"/>
        <w:spacing w:after="110" w:before="220"/>
      </w:pPr>
      <w:r>
        <w:rPr>
          <w:rFonts w:ascii="Calibri" w:cs="Calibri" w:eastAsia="Calibri" w:hAnsi="Calibri"/>
          <w:b/>
          <w:bCs/>
          <w:color w:val="101828"/>
          <w:sz w:val="23"/>
          <w:szCs w:val="23"/>
        </w:rPr>
        <w:t xml:space="preserve">B3. Arm AGI CPU converts dollars of royalty into thousands of dollars of silicon revenue</w:t>
      </w:r>
    </w:p>
    <w:p>
      <w:pPr>
        <w:spacing w:after="100" w:line="276"/>
        <w:ind w:left="288"/>
      </w:pPr>
      <w:r>
        <w:rPr>
          <w:rFonts w:ascii="Calibri" w:cs="Calibri" w:eastAsia="Calibri" w:hAnsi="Calibri"/>
          <w:b/>
          <w:bCs/>
          <w:color w:val="1D2939"/>
          <w:sz w:val="21"/>
          <w:szCs w:val="21"/>
        </w:rPr>
        <w:t xml:space="preserve">What must happen — </w:t>
      </w:r>
      <w:r>
        <w:rPr>
          <w:rFonts w:ascii="Calibri" w:cs="Calibri" w:eastAsia="Calibri" w:hAnsi="Calibri"/>
          <w:color w:val="1D2939"/>
          <w:sz w:val="21"/>
          <w:szCs w:val="21"/>
        </w:rPr>
        <w:t xml:space="preserve">The chip launched in March 2026 ships in volume from end-calendar-2026 and holds its multi-generation roadmap with Meta and the other named customers.</w:t>
      </w:r>
    </w:p>
    <w:p>
      <w:pPr>
        <w:spacing w:after="100" w:line="276"/>
        <w:ind w:left="288"/>
      </w:pPr>
      <w:r>
        <w:rPr>
          <w:rFonts w:ascii="Calibri" w:cs="Calibri" w:eastAsia="Calibri" w:hAnsi="Calibri"/>
          <w:b/>
          <w:bCs/>
          <w:color w:val="1D2939"/>
          <w:sz w:val="21"/>
          <w:szCs w:val="21"/>
        </w:rPr>
        <w:t xml:space="preserve">Why Arm specifically — </w:t>
      </w:r>
      <w:r>
        <w:rPr>
          <w:rFonts w:ascii="Calibri" w:cs="Calibri" w:eastAsia="Calibri" w:hAnsi="Calibri"/>
          <w:color w:val="1D2939"/>
          <w:sz w:val="21"/>
          <w:szCs w:val="21"/>
        </w:rPr>
        <w:t xml:space="preserve">Arm already owns the cores, interconnect and software stack, so the incremental cost of selling the whole chip is physical design and wafers, not architecture — chip-level revenue in a socket that previously paid only a royalty.</w:t>
      </w:r>
    </w:p>
    <w:p>
      <w:pPr>
        <w:spacing w:after="100" w:line="276"/>
        <w:ind w:left="288"/>
      </w:pPr>
      <w:r>
        <w:rPr>
          <w:rFonts w:ascii="Calibri" w:cs="Calibri" w:eastAsia="Calibri" w:hAnsi="Calibri"/>
          <w:b/>
          <w:bCs/>
          <w:color w:val="1D2939"/>
          <w:sz w:val="21"/>
          <w:szCs w:val="21"/>
        </w:rPr>
        <w:t xml:space="preserve">Evidence — </w:t>
      </w:r>
      <w:r>
        <w:rPr>
          <w:rFonts w:ascii="Calibri" w:cs="Calibri" w:eastAsia="Calibri" w:hAnsi="Calibri"/>
          <w:color w:val="1D2939"/>
          <w:sz w:val="21"/>
          <w:szCs w:val="21"/>
        </w:rPr>
        <w:t xml:space="preserve">Committed demand rose from a stated “$1 billion opportunity” across FY2027–28 to “exceeds $2 billion” within one quarter, capacity secured for the $1bn case, initial product delivered to multiple customers. Meta is lead partner and co-developer across multiple generations. Claimed more than 2x performance per rack versus x86.</w:t>
      </w:r>
    </w:p>
    <w:p>
      <w:pPr>
        <w:spacing w:after="160" w:line="276"/>
        <w:ind w:left="288"/>
      </w:pPr>
      <w:r>
        <w:rPr>
          <w:rFonts w:ascii="Calibri" w:cs="Calibri" w:eastAsia="Calibri" w:hAnsi="Calibri"/>
          <w:b/>
          <w:bCs/>
          <w:color w:val="1D2939"/>
          <w:sz w:val="21"/>
          <w:szCs w:val="21"/>
        </w:rPr>
        <w:t xml:space="preserve">What to monitor — </w:t>
      </w:r>
      <w:r>
        <w:rPr>
          <w:rFonts w:ascii="Calibri" w:cs="Calibri" w:eastAsia="Calibri" w:hAnsi="Calibri"/>
          <w:color w:val="1D2939"/>
          <w:sz w:val="21"/>
          <w:szCs w:val="21"/>
        </w:rPr>
        <w:t xml:space="preserve">Conversion of the &gt;$2bn demand into recognized revenue; the first disclosed gross margin on the silicon line; inventory and wafer commitments appearing on the balance sheet.</w:t>
      </w:r>
    </w:p>
    <w:p>
      <w:pPr>
        <w:pStyle w:val="Heading2"/>
        <w:spacing w:after="110" w:before="220"/>
      </w:pPr>
      <w:r>
        <w:rPr>
          <w:rFonts w:ascii="Calibri" w:cs="Calibri" w:eastAsia="Calibri" w:hAnsi="Calibri"/>
          <w:b/>
          <w:bCs/>
          <w:color w:val="101828"/>
          <w:sz w:val="23"/>
          <w:szCs w:val="23"/>
        </w:rPr>
        <w:t xml:space="preserve">B4. Today's spending is an investment phase that ends</w:t>
      </w:r>
    </w:p>
    <w:p>
      <w:pPr>
        <w:spacing w:after="100" w:line="276"/>
        <w:ind w:left="288"/>
      </w:pPr>
      <w:r>
        <w:rPr>
          <w:rFonts w:ascii="Calibri" w:cs="Calibri" w:eastAsia="Calibri" w:hAnsi="Calibri"/>
          <w:b/>
          <w:bCs/>
          <w:color w:val="1D2939"/>
          <w:sz w:val="21"/>
          <w:szCs w:val="21"/>
        </w:rPr>
        <w:t xml:space="preserve">What must happen — </w:t>
      </w:r>
      <w:r>
        <w:rPr>
          <w:rFonts w:ascii="Calibri" w:cs="Calibri" w:eastAsia="Calibri" w:hAnsi="Calibri"/>
          <w:color w:val="1D2939"/>
          <w:sz w:val="21"/>
          <w:szCs w:val="21"/>
        </w:rPr>
        <w:t xml:space="preserve">R&amp;D growth falls below revenue growth and GAAP operating margin recovers from single digits.</w:t>
      </w:r>
    </w:p>
    <w:p>
      <w:pPr>
        <w:spacing w:after="100" w:line="276"/>
        <w:ind w:left="288"/>
      </w:pPr>
      <w:r>
        <w:rPr>
          <w:rFonts w:ascii="Calibri" w:cs="Calibri" w:eastAsia="Calibri" w:hAnsi="Calibri"/>
          <w:b/>
          <w:bCs/>
          <w:color w:val="1D2939"/>
          <w:sz w:val="21"/>
          <w:szCs w:val="21"/>
        </w:rPr>
        <w:t xml:space="preserve">Why Arm specifically — </w:t>
      </w:r>
      <w:r>
        <w:rPr>
          <w:rFonts w:ascii="Calibri" w:cs="Calibri" w:eastAsia="Calibri" w:hAnsi="Calibri"/>
          <w:color w:val="1D2939"/>
          <w:sz w:val="21"/>
          <w:szCs w:val="21"/>
        </w:rPr>
        <w:t xml:space="preserve">Arm funds one core design and amortizes it across every licensee, so a fixed R&amp;D base spread over a rising royalty stream is the operating leverage — nothing in the licensing model requires cost to scale with revenue.</w:t>
      </w:r>
    </w:p>
    <w:p>
      <w:pPr>
        <w:spacing w:after="100" w:line="276"/>
        <w:ind w:left="288"/>
      </w:pPr>
      <w:r>
        <w:rPr>
          <w:rFonts w:ascii="Calibri" w:cs="Calibri" w:eastAsia="Calibri" w:hAnsi="Calibri"/>
          <w:b/>
          <w:bCs/>
          <w:color w:val="1D2939"/>
          <w:sz w:val="21"/>
          <w:szCs w:val="21"/>
        </w:rPr>
        <w:t xml:space="preserve">Evidence — </w:t>
      </w:r>
      <w:r>
        <w:rPr>
          <w:rFonts w:ascii="Calibri" w:cs="Calibri" w:eastAsia="Calibri" w:hAnsi="Calibri"/>
          <w:color w:val="1D2939"/>
          <w:sz w:val="21"/>
          <w:szCs w:val="21"/>
        </w:rPr>
        <w:t xml:space="preserve">R&amp;D was $2,776m in FY2026 — 56% of revenue — up 34% while revenue grew 23%. GAAP operating margin was 18% for FY2026 and fell to 7.1% in Q1 FY2027 from 10.8%, even as non-GAAP operating margin rose to 41.2%.</w:t>
      </w:r>
    </w:p>
    <w:p>
      <w:pPr>
        <w:spacing w:after="160" w:line="276"/>
        <w:ind w:left="288"/>
      </w:pPr>
      <w:r>
        <w:rPr>
          <w:rFonts w:ascii="Calibri" w:cs="Calibri" w:eastAsia="Calibri" w:hAnsi="Calibri"/>
          <w:b/>
          <w:bCs/>
          <w:color w:val="1D2939"/>
          <w:sz w:val="21"/>
          <w:szCs w:val="21"/>
        </w:rPr>
        <w:t xml:space="preserve">What to monitor — </w:t>
      </w:r>
      <w:r>
        <w:rPr>
          <w:rFonts w:ascii="Calibri" w:cs="Calibri" w:eastAsia="Calibri" w:hAnsi="Calibri"/>
          <w:color w:val="1D2939"/>
          <w:sz w:val="21"/>
          <w:szCs w:val="21"/>
        </w:rPr>
        <w:t xml:space="preserve">R&amp;D growth versus revenue growth; GAAP — not non-GAAP — operating margin.</w:t>
      </w:r>
    </w:p>
    <w:p>
      <w:pPr>
        <w:spacing w:after="160" w:line="276"/>
      </w:pPr>
      <w:r>
        <w:rPr>
          <w:rFonts w:ascii="Calibri" w:cs="Calibri" w:eastAsia="Calibri" w:hAnsi="Calibri"/>
          <w:i/>
          <w:iCs/>
          <w:color w:val="1D2939"/>
          <w:sz w:val="21"/>
          <w:szCs w:val="21"/>
        </w:rPr>
        <w:t xml:space="preserve">Why the market might be missing it: royalty is recognized a quarter in arrears on estimated shipments, so a data-center inflection reaches Arm's reported numbers materially later than it happens in its customers' fabs.</w:t>
      </w:r>
    </w:p>
    <w:p>
      <w:pPr>
        <w:pStyle w:val="Heading1"/>
        <w:spacing w:after="150" w:before="280"/>
      </w:pPr>
      <w:r>
        <w:rPr>
          <w:rFonts w:ascii="Calibri" w:cs="Calibri" w:eastAsia="Calibri" w:hAnsi="Calibri"/>
          <w:b/>
          <w:bCs/>
          <w:color w:val="101828"/>
          <w:sz w:val="30"/>
          <w:szCs w:val="30"/>
        </w:rPr>
        <w:t xml:space="preserve">3. Bear case — Munger invert</w:t>
      </w:r>
    </w:p>
    <w:p>
      <w:pPr>
        <w:spacing w:after="200" w:line="276"/>
      </w:pPr>
      <w:r>
        <w:rPr>
          <w:rFonts w:ascii="Calibri" w:cs="Calibri" w:eastAsia="Calibri" w:hAnsi="Calibri"/>
          <w:i/>
          <w:iCs/>
          <w:color w:val="1D2939"/>
          <w:sz w:val="21"/>
          <w:szCs w:val="21"/>
        </w:rPr>
        <w:t xml:space="preserve">The most likely way I lose money is that Arm's reported growth turns out to have been bought from its own parent, while the licensees it now competes with quietly fund the alternative.</w:t>
      </w:r>
    </w:p>
    <w:p>
      <w:pPr>
        <w:pStyle w:val="Heading2"/>
        <w:spacing w:after="110" w:before="220"/>
      </w:pPr>
      <w:r>
        <w:rPr>
          <w:rFonts w:ascii="Calibri" w:cs="Calibri" w:eastAsia="Calibri" w:hAnsi="Calibri"/>
          <w:b/>
          <w:bCs/>
          <w:color w:val="101828"/>
          <w:sz w:val="23"/>
          <w:szCs w:val="23"/>
        </w:rPr>
        <w:t xml:space="preserve">R1. Arm now competes with the customers who pay its royalties</w:t>
      </w:r>
    </w:p>
    <w:p>
      <w:pPr>
        <w:spacing w:after="80" w:line="276"/>
        <w:ind w:left="288"/>
      </w:pPr>
      <w:r>
        <w:rPr>
          <w:rFonts w:ascii="Calibri" w:cs="Calibri" w:eastAsia="Calibri" w:hAnsi="Calibri"/>
          <w:b/>
          <w:bCs/>
          <w:color w:val="B42318"/>
          <w:sz w:val="21"/>
          <w:szCs w:val="21"/>
        </w:rPr>
        <w:t xml:space="preserve">Attacks B1, B2, B3  ·  Permanent</w:t>
      </w:r>
    </w:p>
    <w:p>
      <w:pPr>
        <w:spacing w:after="100" w:line="276"/>
        <w:ind w:left="288"/>
      </w:pPr>
      <w:r>
        <w:rPr>
          <w:rFonts w:ascii="Calibri" w:cs="Calibri" w:eastAsia="Calibri" w:hAnsi="Calibri"/>
          <w:b/>
          <w:bCs/>
          <w:color w:val="1D2939"/>
          <w:sz w:val="21"/>
          <w:szCs w:val="21"/>
        </w:rPr>
        <w:t xml:space="preserve">How it could fail — </w:t>
      </w:r>
      <w:r>
        <w:rPr>
          <w:rFonts w:ascii="Calibri" w:cs="Calibri" w:eastAsia="Calibri" w:hAnsi="Calibri"/>
          <w:color w:val="1D2939"/>
          <w:sz w:val="21"/>
          <w:szCs w:val="21"/>
        </w:rPr>
        <w:t xml:space="preserve">The AGI CPU and Arm's direct hyperscaler relationships put it in the same socket as Broadcom, Marvell, Qualcomm and other licensees. Arm's own 20-F says these customers may “seek alternative architectures”, “withhold sensitive roadmap information” or “demand more favorable commercial terms”. A licensee cannot punish Arm this quarter — it starts a RISC-V program that removes a socket in five years.</w:t>
      </w:r>
    </w:p>
    <w:p>
      <w:pPr>
        <w:spacing w:after="100" w:line="276"/>
        <w:ind w:left="288"/>
      </w:pPr>
      <w:r>
        <w:rPr>
          <w:rFonts w:ascii="Calibri" w:cs="Calibri" w:eastAsia="Calibri" w:hAnsi="Calibri"/>
          <w:b/>
          <w:bCs/>
          <w:color w:val="1D2939"/>
          <w:sz w:val="21"/>
          <w:szCs w:val="21"/>
        </w:rPr>
        <w:t xml:space="preserve">What would confirm failure — </w:t>
      </w:r>
      <w:r>
        <w:rPr>
          <w:rFonts w:ascii="Calibri" w:cs="Calibri" w:eastAsia="Calibri" w:hAnsi="Calibri"/>
          <w:color w:val="1D2939"/>
          <w:sz w:val="21"/>
          <w:szCs w:val="21"/>
        </w:rPr>
        <w:t xml:space="preserve">An architecture licensee announcing a non-Arm core for a segment where it currently ships Arm; licence renewals on visibly worse terms.</w:t>
      </w:r>
    </w:p>
    <w:p>
      <w:pPr>
        <w:spacing w:after="160" w:line="276"/>
        <w:ind w:left="288"/>
      </w:pPr>
      <w:r>
        <w:rPr>
          <w:rFonts w:ascii="Calibri" w:cs="Calibri" w:eastAsia="Calibri" w:hAnsi="Calibri"/>
          <w:b/>
          <w:bCs/>
          <w:color w:val="1D2939"/>
          <w:sz w:val="21"/>
          <w:szCs w:val="21"/>
        </w:rPr>
        <w:t xml:space="preserve">Damage — </w:t>
      </w:r>
      <w:r>
        <w:rPr>
          <w:rFonts w:ascii="Calibri" w:cs="Calibri" w:eastAsia="Calibri" w:hAnsi="Calibri"/>
          <w:color w:val="1D2939"/>
          <w:sz w:val="21"/>
          <w:szCs w:val="21"/>
        </w:rPr>
        <w:t xml:space="preserve">Permanent: the royalty base is the entire durable asset, and an architecture that leaves does not come back.</w:t>
      </w:r>
    </w:p>
    <w:p>
      <w:pPr>
        <w:pStyle w:val="Heading2"/>
        <w:spacing w:after="110" w:before="220"/>
      </w:pPr>
      <w:r>
        <w:rPr>
          <w:rFonts w:ascii="Calibri" w:cs="Calibri" w:eastAsia="Calibri" w:hAnsi="Calibri"/>
          <w:b/>
          <w:bCs/>
          <w:color w:val="101828"/>
          <w:sz w:val="23"/>
          <w:szCs w:val="23"/>
        </w:rPr>
        <w:t xml:space="preserve">R2. Arm cannot enforce the licence terms that make architecture licensing safe</w:t>
      </w:r>
    </w:p>
    <w:p>
      <w:pPr>
        <w:spacing w:after="80" w:line="276"/>
        <w:ind w:left="288"/>
      </w:pPr>
      <w:r>
        <w:rPr>
          <w:rFonts w:ascii="Calibri" w:cs="Calibri" w:eastAsia="Calibri" w:hAnsi="Calibri"/>
          <w:b/>
          <w:bCs/>
          <w:color w:val="B42318"/>
          <w:sz w:val="21"/>
          <w:szCs w:val="21"/>
        </w:rPr>
        <w:t xml:space="preserve">Attacks B1  ·  Largely permanent</w:t>
      </w:r>
    </w:p>
    <w:p>
      <w:pPr>
        <w:spacing w:after="100" w:line="276"/>
        <w:ind w:left="288"/>
      </w:pPr>
      <w:r>
        <w:rPr>
          <w:rFonts w:ascii="Calibri" w:cs="Calibri" w:eastAsia="Calibri" w:hAnsi="Calibri"/>
          <w:b/>
          <w:bCs/>
          <w:color w:val="1D2939"/>
          <w:sz w:val="21"/>
          <w:szCs w:val="21"/>
        </w:rPr>
        <w:t xml:space="preserve">How it could fail — </w:t>
      </w:r>
      <w:r>
        <w:rPr>
          <w:rFonts w:ascii="Calibri" w:cs="Calibri" w:eastAsia="Calibri" w:hAnsi="Calibri"/>
          <w:color w:val="1D2939"/>
          <w:sz w:val="21"/>
          <w:szCs w:val="21"/>
        </w:rPr>
        <w:t xml:space="preserve">Arm sued Qualcomm and Nuvia to force destruction of cores developed under a terminated architecture licence. The jury found the technology licensed under Qualcomm's own ALA, and in September 2025 the court granted Qualcomm judgment as a matter of law that Nuvia had not breached. Arm's appeal is pending; Qualcomm's counter-suit goes to trial in Q4 CY2026. If that stands, an architecture licence becomes a cheap option: acquire a design house, keep the cores, pay the architecture rate rather than the implementation rate.</w:t>
      </w:r>
    </w:p>
    <w:p>
      <w:pPr>
        <w:spacing w:after="100" w:line="276"/>
        <w:ind w:left="288"/>
      </w:pPr>
      <w:r>
        <w:rPr>
          <w:rFonts w:ascii="Calibri" w:cs="Calibri" w:eastAsia="Calibri" w:hAnsi="Calibri"/>
          <w:b/>
          <w:bCs/>
          <w:color w:val="1D2939"/>
          <w:sz w:val="21"/>
          <w:szCs w:val="21"/>
        </w:rPr>
        <w:t xml:space="preserve">What would confirm failure — </w:t>
      </w:r>
      <w:r>
        <w:rPr>
          <w:rFonts w:ascii="Calibri" w:cs="Calibri" w:eastAsia="Calibri" w:hAnsi="Calibri"/>
          <w:color w:val="1D2939"/>
          <w:sz w:val="21"/>
          <w:szCs w:val="21"/>
        </w:rPr>
        <w:t xml:space="preserve">The Third Circuit affirming; an adverse Q4 CY2026 verdict; other licensees restructuring toward architecture-only terms.</w:t>
      </w:r>
    </w:p>
    <w:p>
      <w:pPr>
        <w:spacing w:after="160" w:line="276"/>
        <w:ind w:left="288"/>
      </w:pPr>
      <w:r>
        <w:rPr>
          <w:rFonts w:ascii="Calibri" w:cs="Calibri" w:eastAsia="Calibri" w:hAnsi="Calibri"/>
          <w:b/>
          <w:bCs/>
          <w:color w:val="1D2939"/>
          <w:sz w:val="21"/>
          <w:szCs w:val="21"/>
        </w:rPr>
        <w:t xml:space="preserve">Damage — </w:t>
      </w:r>
      <w:r>
        <w:rPr>
          <w:rFonts w:ascii="Calibri" w:cs="Calibri" w:eastAsia="Calibri" w:hAnsi="Calibri"/>
          <w:color w:val="1D2939"/>
          <w:sz w:val="21"/>
          <w:szCs w:val="21"/>
        </w:rPr>
        <w:t xml:space="preserve">Qualcomm alone was 9% of FY2026 revenue; the larger loss is the price ceiling — implementation royalties hold only if the cheaper route stays legally closed.</w:t>
      </w:r>
    </w:p>
    <w:p>
      <w:pPr>
        <w:pStyle w:val="Heading2"/>
        <w:spacing w:after="110" w:before="220"/>
      </w:pPr>
      <w:r>
        <w:rPr>
          <w:rFonts w:ascii="Calibri" w:cs="Calibri" w:eastAsia="Calibri" w:hAnsi="Calibri"/>
          <w:b/>
          <w:bCs/>
          <w:color w:val="101828"/>
          <w:sz w:val="23"/>
          <w:szCs w:val="23"/>
        </w:rPr>
        <w:t xml:space="preserve">R3. Most of FY2026's growth came from the controlling shareholder</w:t>
      </w:r>
    </w:p>
    <w:p>
      <w:pPr>
        <w:spacing w:after="80" w:line="276"/>
        <w:ind w:left="288"/>
      </w:pPr>
      <w:r>
        <w:rPr>
          <w:rFonts w:ascii="Calibri" w:cs="Calibri" w:eastAsia="Calibri" w:hAnsi="Calibri"/>
          <w:b/>
          <w:bCs/>
          <w:color w:val="B42318"/>
          <w:sz w:val="21"/>
          <w:szCs w:val="21"/>
        </w:rPr>
        <w:t xml:space="preserve">Attacks B4 and the headline growth rate  ·  Fixable, but it has already repriced the growth rate</w:t>
      </w:r>
    </w:p>
    <w:p>
      <w:pPr>
        <w:spacing w:after="100" w:line="276"/>
        <w:ind w:left="288"/>
      </w:pPr>
      <w:r>
        <w:rPr>
          <w:rFonts w:ascii="Calibri" w:cs="Calibri" w:eastAsia="Calibri" w:hAnsi="Calibri"/>
          <w:b/>
          <w:bCs/>
          <w:color w:val="1D2939"/>
          <w:sz w:val="21"/>
          <w:szCs w:val="21"/>
        </w:rPr>
        <w:t xml:space="preserve">How it could fail — </w:t>
      </w:r>
      <w:r>
        <w:rPr>
          <w:rFonts w:ascii="Calibri" w:cs="Calibri" w:eastAsia="Calibri" w:hAnsi="Calibri"/>
          <w:color w:val="1D2939"/>
          <w:sz w:val="21"/>
          <w:szCs w:val="21"/>
        </w:rPr>
        <w:t xml:space="preserve">Revenue under the consulting agreement with a SoftBank Group affiliate was $704.4m in FY2026 against $145.5m in FY2025 — $559m of the $913m total revenue increase, and 14% of FY2026 revenue, from an entity controlled by the shareholder that owns 86.4% of Arm. Strip it out and FY2026 revenue grew about 9%, with license and other revenue down about 5% (arithmetic from the disclosed figures, not a disclosed number). $645.8m sat unbilled at 31 March 2026 — roughly two-thirds of all contract assets.</w:t>
      </w:r>
    </w:p>
    <w:p>
      <w:pPr>
        <w:spacing w:after="100" w:line="276"/>
        <w:ind w:left="288"/>
      </w:pPr>
      <w:r>
        <w:rPr>
          <w:rFonts w:ascii="Calibri" w:cs="Calibri" w:eastAsia="Calibri" w:hAnsi="Calibri"/>
          <w:b/>
          <w:bCs/>
          <w:color w:val="1D2939"/>
          <w:sz w:val="21"/>
          <w:szCs w:val="21"/>
        </w:rPr>
        <w:t xml:space="preserve">What would confirm failure — </w:t>
      </w:r>
      <w:r>
        <w:rPr>
          <w:rFonts w:ascii="Calibri" w:cs="Calibri" w:eastAsia="Calibri" w:hAnsi="Calibri"/>
          <w:color w:val="1D2939"/>
          <w:sz w:val="21"/>
          <w:szCs w:val="21"/>
        </w:rPr>
        <w:t xml:space="preserve">The consulting line flattening while ACV growth stays in the low teens — ACV, Arm's own normalized licensing metric, already decelerated from +22% at March 2026 to +13% at June 2026.</w:t>
      </w:r>
    </w:p>
    <w:p>
      <w:pPr>
        <w:spacing w:after="160" w:line="276"/>
        <w:ind w:left="288"/>
      </w:pPr>
      <w:r>
        <w:rPr>
          <w:rFonts w:ascii="Calibri" w:cs="Calibri" w:eastAsia="Calibri" w:hAnsi="Calibri"/>
          <w:b/>
          <w:bCs/>
          <w:color w:val="1D2939"/>
          <w:sz w:val="21"/>
          <w:szCs w:val="21"/>
        </w:rPr>
        <w:t xml:space="preserve">Damage — </w:t>
      </w:r>
      <w:r>
        <w:rPr>
          <w:rFonts w:ascii="Calibri" w:cs="Calibri" w:eastAsia="Calibri" w:hAnsi="Calibri"/>
          <w:color w:val="1D2939"/>
          <w:sz w:val="21"/>
          <w:szCs w:val="21"/>
        </w:rPr>
        <w:t xml:space="preserve">Less to cash flow than to the multiple: the market has been capitalizing a 23% grower whose arm's-length business grew about 9%.</w:t>
      </w:r>
    </w:p>
    <w:p>
      <w:pPr>
        <w:pStyle w:val="Heading2"/>
        <w:spacing w:after="110" w:before="220"/>
      </w:pPr>
      <w:r>
        <w:rPr>
          <w:rFonts w:ascii="Calibri" w:cs="Calibri" w:eastAsia="Calibri" w:hAnsi="Calibri"/>
          <w:b/>
          <w:bCs/>
          <w:color w:val="101828"/>
          <w:sz w:val="23"/>
          <w:szCs w:val="23"/>
        </w:rPr>
        <w:t xml:space="preserve">R4. Production silicon destroys the financial model the multiple is paid for</w:t>
      </w:r>
    </w:p>
    <w:p>
      <w:pPr>
        <w:spacing w:after="80" w:line="276"/>
        <w:ind w:left="288"/>
      </w:pPr>
      <w:r>
        <w:rPr>
          <w:rFonts w:ascii="Calibri" w:cs="Calibri" w:eastAsia="Calibri" w:hAnsi="Calibri"/>
          <w:b/>
          <w:bCs/>
          <w:color w:val="B42318"/>
          <w:sz w:val="21"/>
          <w:szCs w:val="21"/>
        </w:rPr>
        <w:t xml:space="preserve">Attacks B3  ·  Permanent if the silicon business succeeds</w:t>
      </w:r>
    </w:p>
    <w:p>
      <w:pPr>
        <w:spacing w:after="100" w:line="276"/>
        <w:ind w:left="288"/>
      </w:pPr>
      <w:r>
        <w:rPr>
          <w:rFonts w:ascii="Calibri" w:cs="Calibri" w:eastAsia="Calibri" w:hAnsi="Calibri"/>
          <w:b/>
          <w:bCs/>
          <w:color w:val="1D2939"/>
          <w:sz w:val="21"/>
          <w:szCs w:val="21"/>
        </w:rPr>
        <w:t xml:space="preserve">How it could fail — </w:t>
      </w:r>
      <w:r>
        <w:rPr>
          <w:rFonts w:ascii="Calibri" w:cs="Calibri" w:eastAsia="Calibri" w:hAnsi="Calibri"/>
          <w:color w:val="1D2939"/>
          <w:sz w:val="21"/>
          <w:szCs w:val="21"/>
        </w:rPr>
        <w:t xml:space="preserve">Arm's 98% gross margin exists because it ships files, not wafers. The 20-F warns the silicon business brings “margin compression, greater quarter-to-quarter revenue volatility, increased capital intensity and working capital requirements”, plus foundry commitments that cannot flex, inventory obsolescence and a longer cash conversion cycle. At $2bn of silicon against roughly $5bn of IP revenue, blended gross margin falls mechanically however well Arm executes.</w:t>
      </w:r>
    </w:p>
    <w:p>
      <w:pPr>
        <w:spacing w:after="100" w:line="276"/>
        <w:ind w:left="288"/>
      </w:pPr>
      <w:r>
        <w:rPr>
          <w:rFonts w:ascii="Calibri" w:cs="Calibri" w:eastAsia="Calibri" w:hAnsi="Calibri"/>
          <w:b/>
          <w:bCs/>
          <w:color w:val="1D2939"/>
          <w:sz w:val="21"/>
          <w:szCs w:val="21"/>
        </w:rPr>
        <w:t xml:space="preserve">What would confirm failure — </w:t>
      </w:r>
      <w:r>
        <w:rPr>
          <w:rFonts w:ascii="Calibri" w:cs="Calibri" w:eastAsia="Calibri" w:hAnsi="Calibri"/>
          <w:color w:val="1D2939"/>
          <w:sz w:val="21"/>
          <w:szCs w:val="21"/>
        </w:rPr>
        <w:t xml:space="preserve">The first quarter reporting inventory, wafer purchase commitments and a gross margin below the mid-90s.</w:t>
      </w:r>
    </w:p>
    <w:p>
      <w:pPr>
        <w:spacing w:after="160" w:line="276"/>
        <w:ind w:left="288"/>
      </w:pPr>
      <w:r>
        <w:rPr>
          <w:rFonts w:ascii="Calibri" w:cs="Calibri" w:eastAsia="Calibri" w:hAnsi="Calibri"/>
          <w:b/>
          <w:bCs/>
          <w:color w:val="1D2939"/>
          <w:sz w:val="21"/>
          <w:szCs w:val="21"/>
        </w:rPr>
        <w:t xml:space="preserve">Damage — </w:t>
      </w:r>
      <w:r>
        <w:rPr>
          <w:rFonts w:ascii="Calibri" w:cs="Calibri" w:eastAsia="Calibri" w:hAnsi="Calibri"/>
          <w:color w:val="1D2939"/>
          <w:sz w:val="21"/>
          <w:szCs w:val="21"/>
        </w:rPr>
        <w:t xml:space="preserve">Structural, and realized by the bull case working rather than failing — which is why it is the easiest risk to underwrite away.</w:t>
      </w:r>
    </w:p>
    <w:p>
      <w:pPr>
        <w:pStyle w:val="Heading2"/>
        <w:spacing w:after="110" w:before="220"/>
      </w:pPr>
      <w:r>
        <w:rPr>
          <w:rFonts w:ascii="Calibri" w:cs="Calibri" w:eastAsia="Calibri" w:hAnsi="Calibri"/>
          <w:b/>
          <w:bCs/>
          <w:color w:val="101828"/>
          <w:sz w:val="23"/>
          <w:szCs w:val="23"/>
        </w:rPr>
        <w:t xml:space="preserve">R5. Stock compensation already consumes the operating profit</w:t>
      </w:r>
    </w:p>
    <w:p>
      <w:pPr>
        <w:spacing w:after="80" w:line="276"/>
        <w:ind w:left="288"/>
      </w:pPr>
      <w:r>
        <w:rPr>
          <w:rFonts w:ascii="Calibri" w:cs="Calibri" w:eastAsia="Calibri" w:hAnsi="Calibri"/>
          <w:b/>
          <w:bCs/>
          <w:color w:val="B42318"/>
          <w:sz w:val="21"/>
          <w:szCs w:val="21"/>
        </w:rPr>
        <w:t xml:space="preserve">Attacks B4  ·  Ongoing; fixable only by slowing hiring</w:t>
      </w:r>
    </w:p>
    <w:p>
      <w:pPr>
        <w:spacing w:after="100" w:line="276"/>
        <w:ind w:left="288"/>
      </w:pPr>
      <w:r>
        <w:rPr>
          <w:rFonts w:ascii="Calibri" w:cs="Calibri" w:eastAsia="Calibri" w:hAnsi="Calibri"/>
          <w:b/>
          <w:bCs/>
          <w:color w:val="1D2939"/>
          <w:sz w:val="21"/>
          <w:szCs w:val="21"/>
        </w:rPr>
        <w:t xml:space="preserve">How it could fail — </w:t>
      </w:r>
      <w:r>
        <w:rPr>
          <w:rFonts w:ascii="Calibri" w:cs="Calibri" w:eastAsia="Calibri" w:hAnsi="Calibri"/>
          <w:color w:val="1D2939"/>
          <w:sz w:val="21"/>
          <w:szCs w:val="21"/>
        </w:rPr>
        <w:t xml:space="preserve">Equity-settled share-based compensation was $1,052m in FY2026 against GAAP operating income of $900m; with employer taxes, $1,212m, or 25% of revenue. The 41.2% non-GAAP operating margin quoted in Q1 FY2027 was a 7.1% GAAP margin. Diluted shares rose only from 1,044m to 1,068m over two years — the cost lands in the income statement rather than the share count, real in either place.</w:t>
      </w:r>
    </w:p>
    <w:p>
      <w:pPr>
        <w:spacing w:after="100" w:line="276"/>
        <w:ind w:left="288"/>
      </w:pPr>
      <w:r>
        <w:rPr>
          <w:rFonts w:ascii="Calibri" w:cs="Calibri" w:eastAsia="Calibri" w:hAnsi="Calibri"/>
          <w:b/>
          <w:bCs/>
          <w:color w:val="1D2939"/>
          <w:sz w:val="21"/>
          <w:szCs w:val="21"/>
        </w:rPr>
        <w:t xml:space="preserve">What would confirm failure — </w:t>
      </w:r>
      <w:r>
        <w:rPr>
          <w:rFonts w:ascii="Calibri" w:cs="Calibri" w:eastAsia="Calibri" w:hAnsi="Calibri"/>
          <w:color w:val="1D2939"/>
          <w:sz w:val="21"/>
          <w:szCs w:val="21"/>
        </w:rPr>
        <w:t xml:space="preserve">GAAP operating margin staying in single digits as silicon cost of sales lands on top.</w:t>
      </w:r>
    </w:p>
    <w:p>
      <w:pPr>
        <w:spacing w:after="160" w:line="276"/>
        <w:ind w:left="288"/>
      </w:pPr>
      <w:r>
        <w:rPr>
          <w:rFonts w:ascii="Calibri" w:cs="Calibri" w:eastAsia="Calibri" w:hAnsi="Calibri"/>
          <w:b/>
          <w:bCs/>
          <w:color w:val="1D2939"/>
          <w:sz w:val="21"/>
          <w:szCs w:val="21"/>
        </w:rPr>
        <w:t xml:space="preserve">Damage — </w:t>
      </w:r>
      <w:r>
        <w:rPr>
          <w:rFonts w:ascii="Calibri" w:cs="Calibri" w:eastAsia="Calibri" w:hAnsi="Calibri"/>
          <w:color w:val="1D2939"/>
          <w:sz w:val="21"/>
          <w:szCs w:val="21"/>
        </w:rPr>
        <w:t xml:space="preserve">Caps the operating leverage in B4 — R&amp;D can decelerate and GAAP margin still not recover if equity comp scales with engineering headcount.</w:t>
      </w:r>
    </w:p>
    <w:p>
      <w:pPr>
        <w:pStyle w:val="Heading2"/>
        <w:spacing w:after="110" w:before="220"/>
      </w:pPr>
      <w:r>
        <w:rPr>
          <w:rFonts w:ascii="Calibri" w:cs="Calibri" w:eastAsia="Calibri" w:hAnsi="Calibri"/>
          <w:b/>
          <w:bCs/>
          <w:color w:val="101828"/>
          <w:sz w:val="23"/>
          <w:szCs w:val="23"/>
        </w:rPr>
        <w:t xml:space="preserve">R6. The two largest revenue concentrations are entities Arm does not control</w:t>
      </w:r>
    </w:p>
    <w:p>
      <w:pPr>
        <w:spacing w:after="80" w:line="276"/>
        <w:ind w:left="288"/>
      </w:pPr>
      <w:r>
        <w:rPr>
          <w:rFonts w:ascii="Calibri" w:cs="Calibri" w:eastAsia="Calibri" w:hAnsi="Calibri"/>
          <w:b/>
          <w:bCs/>
          <w:color w:val="B42318"/>
          <w:sz w:val="21"/>
          <w:szCs w:val="21"/>
        </w:rPr>
        <w:t xml:space="preserve">Attacks B1  ·  Structural, outside Arm's control</w:t>
      </w:r>
    </w:p>
    <w:p>
      <w:pPr>
        <w:spacing w:after="100" w:line="276"/>
        <w:ind w:left="288"/>
      </w:pPr>
      <w:r>
        <w:rPr>
          <w:rFonts w:ascii="Calibri" w:cs="Calibri" w:eastAsia="Calibri" w:hAnsi="Calibri"/>
          <w:b/>
          <w:bCs/>
          <w:color w:val="1D2939"/>
          <w:sz w:val="21"/>
          <w:szCs w:val="21"/>
        </w:rPr>
        <w:t xml:space="preserve">How it could fail — </w:t>
      </w:r>
      <w:r>
        <w:rPr>
          <w:rFonts w:ascii="Calibri" w:cs="Calibri" w:eastAsia="Calibri" w:hAnsi="Calibri"/>
          <w:color w:val="1D2939"/>
          <w:sz w:val="21"/>
          <w:szCs w:val="21"/>
        </w:rPr>
        <w:t xml:space="preserve">Arm China — an independent distributor Arm neither owns nor manages — is Arm's single largest customer at 16% of FY2026 revenue. Arm depends on Arm China's own reported figures to determine what it is owed, and recognized $12.3m of expected credit losses against it in FY2026, taking the allowance to $28.3m. PRC revenue was 18% of total; the top five customers, including Arm China and SoftBank Group, were 57%.</w:t>
      </w:r>
    </w:p>
    <w:p>
      <w:pPr>
        <w:spacing w:after="100" w:line="276"/>
        <w:ind w:left="288"/>
      </w:pPr>
      <w:r>
        <w:rPr>
          <w:rFonts w:ascii="Calibri" w:cs="Calibri" w:eastAsia="Calibri" w:hAnsi="Calibri"/>
          <w:b/>
          <w:bCs/>
          <w:color w:val="1D2939"/>
          <w:sz w:val="21"/>
          <w:szCs w:val="21"/>
        </w:rPr>
        <w:t xml:space="preserve">What would confirm failure — </w:t>
      </w:r>
      <w:r>
        <w:rPr>
          <w:rFonts w:ascii="Calibri" w:cs="Calibri" w:eastAsia="Calibri" w:hAnsi="Calibri"/>
          <w:color w:val="1D2939"/>
          <w:sz w:val="21"/>
          <w:szCs w:val="21"/>
        </w:rPr>
        <w:t xml:space="preserve">A China export-control or end-use change touching the IPLA; a widening credit allowance against Arm China; PRC revenue turning negative after +17% in FY2026.</w:t>
      </w:r>
    </w:p>
    <w:p>
      <w:pPr>
        <w:spacing w:after="160" w:line="276"/>
        <w:ind w:left="288"/>
      </w:pPr>
      <w:r>
        <w:rPr>
          <w:rFonts w:ascii="Calibri" w:cs="Calibri" w:eastAsia="Calibri" w:hAnsi="Calibri"/>
          <w:b/>
          <w:bCs/>
          <w:color w:val="1D2939"/>
          <w:sz w:val="21"/>
          <w:szCs w:val="21"/>
        </w:rPr>
        <w:t xml:space="preserve">Damage — </w:t>
      </w:r>
      <w:r>
        <w:rPr>
          <w:rFonts w:ascii="Calibri" w:cs="Calibri" w:eastAsia="Calibri" w:hAnsi="Calibri"/>
          <w:color w:val="1D2939"/>
          <w:sz w:val="21"/>
          <w:szCs w:val="21"/>
        </w:rPr>
        <w:t xml:space="preserve">A sixth of revenue reaches Arm through a counterparty it cannot audit and a government that can close the channel.</w:t>
      </w:r>
    </w:p>
    <w:p>
      <w:pPr>
        <w:pStyle w:val="Heading1"/>
        <w:spacing w:after="150" w:before="280"/>
      </w:pPr>
      <w:r>
        <w:rPr>
          <w:rFonts w:ascii="Calibri" w:cs="Calibri" w:eastAsia="Calibri" w:hAnsi="Calibri"/>
          <w:b/>
          <w:bCs/>
          <w:color w:val="101828"/>
          <w:sz w:val="30"/>
          <w:szCs w:val="30"/>
        </w:rPr>
        <w:t xml:space="preserve">4. Signals to monitor</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520"/>
        <w:gridCol w:w="1980"/>
        <w:gridCol w:w="2160"/>
        <w:gridCol w:w="2700"/>
      </w:tblGrid>
      <w:tr>
        <w:trPr>
          <w:cantSplit/>
          <w:tblHeader/>
        </w:trPr>
        <w:tc>
          <w:tcPr>
            <w:tcW w:type="dxa" w:w="2520"/>
            <w:shd w:fill="F2F4F7" w:color="auto" w:val="clear"/>
            <w:tcMar>
              <w:top w:type="dxa" w:w="80"/>
              <w:left w:type="dxa" w:w="110"/>
              <w:bottom w:type="dxa" w:w="80"/>
              <w:right w:type="dxa" w:w="110"/>
            </w:tcMar>
          </w:tcPr>
          <w:p>
            <w:pPr>
              <w:spacing w:after="0" w:line="260"/>
            </w:pPr>
            <w:r>
              <w:rPr>
                <w:rFonts w:ascii="Calibri" w:cs="Calibri" w:eastAsia="Calibri" w:hAnsi="Calibri"/>
                <w:b/>
                <w:bCs/>
                <w:color w:val="344054"/>
                <w:sz w:val="19"/>
                <w:szCs w:val="19"/>
              </w:rPr>
              <w:t xml:space="preserve">Signal</w:t>
            </w:r>
          </w:p>
        </w:tc>
        <w:tc>
          <w:tcPr>
            <w:tcW w:type="dxa" w:w="1980"/>
            <w:shd w:fill="F2F4F7" w:color="auto" w:val="clear"/>
            <w:tcMar>
              <w:top w:type="dxa" w:w="80"/>
              <w:left w:type="dxa" w:w="110"/>
              <w:bottom w:type="dxa" w:w="80"/>
              <w:right w:type="dxa" w:w="110"/>
            </w:tcMar>
          </w:tcPr>
          <w:p>
            <w:pPr>
              <w:spacing w:after="0" w:line="260"/>
              <w:jc w:val="right"/>
            </w:pPr>
            <w:r>
              <w:rPr>
                <w:rFonts w:ascii="Calibri" w:cs="Calibri" w:eastAsia="Calibri" w:hAnsi="Calibri"/>
                <w:b/>
                <w:bCs/>
                <w:color w:val="344054"/>
                <w:sz w:val="19"/>
                <w:szCs w:val="19"/>
              </w:rPr>
              <w:t xml:space="preserve">Current value</w:t>
            </w:r>
          </w:p>
        </w:tc>
        <w:tc>
          <w:tcPr>
            <w:tcW w:type="dxa" w:w="2160"/>
            <w:shd w:fill="F2F4F7" w:color="auto" w:val="clear"/>
            <w:tcMar>
              <w:top w:type="dxa" w:w="80"/>
              <w:left w:type="dxa" w:w="110"/>
              <w:bottom w:type="dxa" w:w="80"/>
              <w:right w:type="dxa" w:w="110"/>
            </w:tcMar>
          </w:tcPr>
          <w:p>
            <w:pPr>
              <w:spacing w:after="0" w:line="260"/>
            </w:pPr>
            <w:r>
              <w:rPr>
                <w:rFonts w:ascii="Calibri" w:cs="Calibri" w:eastAsia="Calibri" w:hAnsi="Calibri"/>
                <w:b/>
                <w:bCs/>
                <w:color w:val="344054"/>
                <w:sz w:val="19"/>
                <w:szCs w:val="19"/>
              </w:rPr>
              <w:t xml:space="preserve">Source</w:t>
            </w:r>
          </w:p>
        </w:tc>
        <w:tc>
          <w:tcPr>
            <w:tcW w:type="dxa" w:w="2700"/>
            <w:shd w:fill="F2F4F7" w:color="auto" w:val="clear"/>
            <w:tcMar>
              <w:top w:type="dxa" w:w="80"/>
              <w:left w:type="dxa" w:w="110"/>
              <w:bottom w:type="dxa" w:w="80"/>
              <w:right w:type="dxa" w:w="110"/>
            </w:tcMar>
          </w:tcPr>
          <w:p>
            <w:pPr>
              <w:spacing w:after="0" w:line="260"/>
            </w:pPr>
            <w:r>
              <w:rPr>
                <w:rFonts w:ascii="Calibri" w:cs="Calibri" w:eastAsia="Calibri" w:hAnsi="Calibri"/>
                <w:b/>
                <w:bCs/>
                <w:color w:val="344054"/>
                <w:sz w:val="19"/>
                <w:szCs w:val="19"/>
              </w:rPr>
              <w:t xml:space="preserve">Direction that matters</w:t>
            </w:r>
          </w:p>
        </w:tc>
      </w:tr>
      <w:tr>
        <w:trPr>
          <w:cantSplit/>
        </w:trP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Royalty revenue growth, year over year</w:t>
            </w:r>
          </w:p>
        </w:tc>
        <w:tc>
          <w:tcPr>
            <w:tcW w:type="dxa" w:w="1980"/>
            <w:tcMar>
              <w:top w:type="dxa" w:w="80"/>
              <w:left w:type="dxa" w:w="110"/>
              <w:bottom w:type="dxa" w:w="80"/>
              <w:right w:type="dxa" w:w="110"/>
            </w:tcMar>
          </w:tcPr>
          <w:p>
            <w:pPr>
              <w:spacing w:after="0" w:line="260"/>
              <w:jc w:val="right"/>
            </w:pPr>
            <w:r>
              <w:rPr>
                <w:rFonts w:ascii="Calibri" w:cs="Calibri" w:eastAsia="Calibri" w:hAnsi="Calibri"/>
                <w:color w:val="1D2939"/>
                <w:sz w:val="19"/>
                <w:szCs w:val="19"/>
              </w:rPr>
              <w:t xml:space="preserve">+22% ($715m)</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Shareholder letter, 29 Jul 2026</w:t>
            </w:r>
          </w:p>
        </w:tc>
        <w:tc>
          <w:tcPr>
            <w:tcW w:type="dxa" w:w="270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Sustained above ~20% supports B1; a drop toward unit growth breaks it</w:t>
            </w:r>
          </w:p>
        </w:tc>
      </w:tr>
      <w:tr>
        <w:trPr>
          <w:cantSplit/>
        </w:trP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Data-center royalty growth and Neoverse cores shipped</w:t>
            </w:r>
          </w:p>
        </w:tc>
        <w:tc>
          <w:tcPr>
            <w:tcW w:type="dxa" w:w="1980"/>
            <w:tcMar>
              <w:top w:type="dxa" w:w="80"/>
              <w:left w:type="dxa" w:w="110"/>
              <w:bottom w:type="dxa" w:w="80"/>
              <w:right w:type="dxa" w:w="110"/>
            </w:tcMar>
          </w:tcPr>
          <w:p>
            <w:pPr>
              <w:spacing w:after="0" w:line="260"/>
              <w:jc w:val="right"/>
            </w:pPr>
            <w:r>
              <w:rPr>
                <w:rFonts w:ascii="Calibri" w:cs="Calibri" w:eastAsia="Calibri" w:hAnsi="Calibri"/>
                <w:color w:val="1D2939"/>
                <w:sz w:val="19"/>
                <w:szCs w:val="19"/>
              </w:rPr>
              <w:t xml:space="preserve">More than doubled y/y; 1.5bn cores (last 500m in 9 months)</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Shareholder letter, 29 Jul 2026</w:t>
            </w:r>
          </w:p>
        </w:tc>
        <w:tc>
          <w:tcPr>
            <w:tcW w:type="dxa" w:w="270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Data-center royalty must stay well above total royalty growth, and the interval per 500m cores must keep shortening, for B2</w:t>
            </w:r>
          </w:p>
        </w:tc>
      </w:tr>
      <w:tr>
        <w:trPr>
          <w:cantSplit/>
        </w:trP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Arm AGI CPU committed demand, FY2027-28</w:t>
            </w:r>
          </w:p>
        </w:tc>
        <w:tc>
          <w:tcPr>
            <w:tcW w:type="dxa" w:w="1980"/>
            <w:tcMar>
              <w:top w:type="dxa" w:w="80"/>
              <w:left w:type="dxa" w:w="110"/>
              <w:bottom w:type="dxa" w:w="80"/>
              <w:right w:type="dxa" w:w="110"/>
            </w:tcMar>
          </w:tcPr>
          <w:p>
            <w:pPr>
              <w:spacing w:after="0" w:line="260"/>
              <w:jc w:val="right"/>
            </w:pPr>
            <w:r>
              <w:rPr>
                <w:rFonts w:ascii="Calibri" w:cs="Calibri" w:eastAsia="Calibri" w:hAnsi="Calibri"/>
                <w:color w:val="1D2939"/>
                <w:sz w:val="19"/>
                <w:szCs w:val="19"/>
              </w:rPr>
              <w:t xml:space="preserve">Exceeds $2bn (was $1bn)</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Shareholder letter, 29 Jul 2026</w:t>
            </w:r>
          </w:p>
        </w:tc>
        <w:tc>
          <w:tcPr>
            <w:tcW w:type="dxa" w:w="270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Conversion into recognized revenue confirms B3; a flat or cut figure kills it</w:t>
            </w:r>
          </w:p>
        </w:tc>
      </w:tr>
      <w:tr>
        <w:trPr>
          <w:cantSplit/>
        </w:trP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ACV, and the SoftBank consulting line behind it</w:t>
            </w:r>
          </w:p>
        </w:tc>
        <w:tc>
          <w:tcPr>
            <w:tcW w:type="dxa" w:w="1980"/>
            <w:tcMar>
              <w:top w:type="dxa" w:w="80"/>
              <w:left w:type="dxa" w:w="110"/>
              <w:bottom w:type="dxa" w:w="80"/>
              <w:right w:type="dxa" w:w="110"/>
            </w:tcMar>
          </w:tcPr>
          <w:p>
            <w:pPr>
              <w:spacing w:after="0" w:line="260"/>
              <w:jc w:val="right"/>
            </w:pPr>
            <w:r>
              <w:rPr>
                <w:rFonts w:ascii="Calibri" w:cs="Calibri" w:eastAsia="Calibri" w:hAnsi="Calibri"/>
                <w:color w:val="1D2939"/>
                <w:sz w:val="19"/>
                <w:szCs w:val="19"/>
              </w:rPr>
              <w:t xml:space="preserve">ACV $1,732m, +13% y/y (was +22%); consulting $192.9m in Q1, $577m unbilled</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Shareholder letters 6 May and 29 Jul 2026; FY2027 Q1 6-K</w:t>
            </w:r>
          </w:p>
        </w:tc>
        <w:tc>
          <w:tcPr>
            <w:tcW w:type="dxa" w:w="270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ACV stuck in the low teens while the consulting line flattens confirms R3 - organic growth nearer 9% than 22%</w:t>
            </w:r>
          </w:p>
        </w:tc>
      </w:tr>
      <w:tr>
        <w:trPr>
          <w:cantSplit/>
        </w:trP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GAAP operating margin</w:t>
            </w:r>
          </w:p>
        </w:tc>
        <w:tc>
          <w:tcPr>
            <w:tcW w:type="dxa" w:w="1980"/>
            <w:tcMar>
              <w:top w:type="dxa" w:w="80"/>
              <w:left w:type="dxa" w:w="110"/>
              <w:bottom w:type="dxa" w:w="80"/>
              <w:right w:type="dxa" w:w="110"/>
            </w:tcMar>
          </w:tcPr>
          <w:p>
            <w:pPr>
              <w:spacing w:after="0" w:line="260"/>
              <w:jc w:val="right"/>
            </w:pPr>
            <w:r>
              <w:rPr>
                <w:rFonts w:ascii="Calibri" w:cs="Calibri" w:eastAsia="Calibri" w:hAnsi="Calibri"/>
                <w:color w:val="1D2939"/>
                <w:sz w:val="19"/>
                <w:szCs w:val="19"/>
              </w:rPr>
              <w:t xml:space="preserve">7.1% (vs 10.8% a year earlier)</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Shareholder letter, 29 Jul 2026</w:t>
            </w:r>
          </w:p>
        </w:tc>
        <w:tc>
          <w:tcPr>
            <w:tcW w:type="dxa" w:w="270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Recovery supports B4; further decline as headcount and equity comp scale confirms R5</w:t>
            </w:r>
          </w:p>
        </w:tc>
      </w:tr>
      <w:tr>
        <w:trPr>
          <w:cantSplit/>
        </w:trP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Consolidated gross margin</w:t>
            </w:r>
          </w:p>
        </w:tc>
        <w:tc>
          <w:tcPr>
            <w:tcW w:type="dxa" w:w="1980"/>
            <w:tcMar>
              <w:top w:type="dxa" w:w="80"/>
              <w:left w:type="dxa" w:w="110"/>
              <w:bottom w:type="dxa" w:w="80"/>
              <w:right w:type="dxa" w:w="110"/>
            </w:tcMar>
          </w:tcPr>
          <w:p>
            <w:pPr>
              <w:spacing w:after="0" w:line="260"/>
              <w:jc w:val="right"/>
            </w:pPr>
            <w:r>
              <w:rPr>
                <w:rFonts w:ascii="Calibri" w:cs="Calibri" w:eastAsia="Calibri" w:hAnsi="Calibri"/>
                <w:color w:val="1D2939"/>
                <w:sz w:val="19"/>
                <w:szCs w:val="19"/>
              </w:rPr>
              <w:t xml:space="preserve">97.2% GAAP</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Shareholder letter, 29 Jul 2026</w:t>
            </w:r>
          </w:p>
        </w:tc>
        <w:tc>
          <w:tcPr>
            <w:tcW w:type="dxa" w:w="270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The first move below the mid-90s, alongside inventory and wafer commitments, marks R4 arriving</w:t>
            </w:r>
          </w:p>
        </w:tc>
      </w:tr>
      <w:tr>
        <w:trPr>
          <w:cantSplit/>
        </w:trP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Qualcomm litigation</w:t>
            </w:r>
          </w:p>
        </w:tc>
        <w:tc>
          <w:tcPr>
            <w:tcW w:type="dxa" w:w="1980"/>
            <w:tcMar>
              <w:top w:type="dxa" w:w="80"/>
              <w:left w:type="dxa" w:w="110"/>
              <w:bottom w:type="dxa" w:w="80"/>
              <w:right w:type="dxa" w:w="110"/>
            </w:tcMar>
          </w:tcPr>
          <w:p>
            <w:pPr>
              <w:spacing w:after="0" w:line="260"/>
              <w:jc w:val="right"/>
            </w:pPr>
            <w:r>
              <w:rPr>
                <w:rFonts w:ascii="Calibri" w:cs="Calibri" w:eastAsia="Calibri" w:hAnsi="Calibri"/>
                <w:color w:val="1D2939"/>
                <w:sz w:val="19"/>
                <w:szCs w:val="19"/>
              </w:rPr>
              <w:t xml:space="preserve">Appeal pending; trial Q4 CY2026</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FY2026 20-F</w:t>
            </w:r>
          </w:p>
        </w:tc>
        <w:tc>
          <w:tcPr>
            <w:tcW w:type="dxa" w:w="270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Judgment as a matter of law went to Qualcomm in Sep 2025; an adverse appeal or verdict confirms R2. Qualcomm was 9% of FY2026 revenue</w:t>
            </w:r>
          </w:p>
        </w:tc>
      </w:tr>
      <w:tr>
        <w:trPr>
          <w:cantSplit/>
        </w:trP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Top-five customer concentration</w:t>
            </w:r>
          </w:p>
        </w:tc>
        <w:tc>
          <w:tcPr>
            <w:tcW w:type="dxa" w:w="1980"/>
            <w:tcMar>
              <w:top w:type="dxa" w:w="80"/>
              <w:left w:type="dxa" w:w="110"/>
              <w:bottom w:type="dxa" w:w="80"/>
              <w:right w:type="dxa" w:w="110"/>
            </w:tcMar>
          </w:tcPr>
          <w:p>
            <w:pPr>
              <w:spacing w:after="0" w:line="260"/>
              <w:jc w:val="right"/>
            </w:pPr>
            <w:r>
              <w:rPr>
                <w:rFonts w:ascii="Calibri" w:cs="Calibri" w:eastAsia="Calibri" w:hAnsi="Calibri"/>
                <w:color w:val="1D2939"/>
                <w:sz w:val="19"/>
                <w:szCs w:val="19"/>
              </w:rPr>
              <w:t xml:space="preserve">57% of FY2026 revenue (Arm China 16%)</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FY2026 20-F</w:t>
            </w:r>
          </w:p>
        </w:tc>
        <w:tc>
          <w:tcPr>
            <w:tcW w:type="dxa" w:w="270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A licensee responding to Arm as a competitor, or a China channel disruption, shows up here first - R1 and R6</w:t>
            </w:r>
          </w:p>
        </w:tc>
      </w:tr>
    </w:tbl>
    <w:p>
      <w:pPr>
        <w:pStyle w:val="Heading1"/>
        <w:spacing w:after="150" w:before="280"/>
      </w:pPr>
      <w:r>
        <w:rPr>
          <w:rFonts w:ascii="Calibri" w:cs="Calibri" w:eastAsia="Calibri" w:hAnsi="Calibri"/>
          <w:b/>
          <w:bCs/>
          <w:color w:val="101828"/>
          <w:sz w:val="30"/>
          <w:szCs w:val="30"/>
        </w:rPr>
        <w:t xml:space="preserve">5. External challenge notes</w:t>
      </w:r>
    </w:p>
    <w:p>
      <w:pPr>
        <w:spacing w:after="180" w:line="276"/>
      </w:pPr>
      <w:r>
        <w:rPr>
          <w:rFonts w:ascii="Calibri" w:cs="Calibri" w:eastAsia="Calibri" w:hAnsi="Calibri"/>
          <w:i/>
          <w:iCs/>
          <w:color w:val="667085"/>
          <w:sz w:val="21"/>
          <w:szCs w:val="21"/>
        </w:rPr>
        <w:t xml:space="preserve">Run 10 September 2026. Everything below comes from outside Arm's filings and is kept separate from the company-sourced sections above, so the reader can tell later which claims came from Arm and which came from its critics, competitors and regulators.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520"/>
        <w:gridCol w:w="3060"/>
        <w:gridCol w:w="1620"/>
        <w:gridCol w:w="2160"/>
      </w:tblGrid>
      <w:tr>
        <w:trPr>
          <w:cantSplit/>
          <w:tblHeader/>
        </w:trPr>
        <w:tc>
          <w:tcPr>
            <w:tcW w:type="dxa" w:w="2520"/>
            <w:shd w:fill="F2F4F7" w:color="auto" w:val="clear"/>
            <w:tcMar>
              <w:top w:type="dxa" w:w="80"/>
              <w:left w:type="dxa" w:w="110"/>
              <w:bottom w:type="dxa" w:w="80"/>
              <w:right w:type="dxa" w:w="110"/>
            </w:tcMar>
          </w:tcPr>
          <w:p>
            <w:pPr>
              <w:spacing w:after="0" w:line="260"/>
            </w:pPr>
            <w:r>
              <w:rPr>
                <w:rFonts w:ascii="Calibri" w:cs="Calibri" w:eastAsia="Calibri" w:hAnsi="Calibri"/>
                <w:b/>
                <w:bCs/>
                <w:color w:val="344054"/>
                <w:sz w:val="19"/>
                <w:szCs w:val="19"/>
              </w:rPr>
              <w:t xml:space="preserve">External point</w:t>
            </w:r>
          </w:p>
        </w:tc>
        <w:tc>
          <w:tcPr>
            <w:tcW w:type="dxa" w:w="3060"/>
            <w:shd w:fill="F2F4F7" w:color="auto" w:val="clear"/>
            <w:tcMar>
              <w:top w:type="dxa" w:w="80"/>
              <w:left w:type="dxa" w:w="110"/>
              <w:bottom w:type="dxa" w:w="80"/>
              <w:right w:type="dxa" w:w="110"/>
            </w:tcMar>
          </w:tcPr>
          <w:p>
            <w:pPr>
              <w:spacing w:after="0" w:line="260"/>
            </w:pPr>
            <w:r>
              <w:rPr>
                <w:rFonts w:ascii="Calibri" w:cs="Calibri" w:eastAsia="Calibri" w:hAnsi="Calibri"/>
                <w:b/>
                <w:bCs/>
                <w:color w:val="344054"/>
                <w:sz w:val="19"/>
                <w:szCs w:val="19"/>
              </w:rPr>
              <w:t xml:space="preserve">How it affects the economics</w:t>
            </w:r>
          </w:p>
        </w:tc>
        <w:tc>
          <w:tcPr>
            <w:tcW w:type="dxa" w:w="1620"/>
            <w:shd w:fill="F2F4F7" w:color="auto" w:val="clear"/>
            <w:tcMar>
              <w:top w:type="dxa" w:w="80"/>
              <w:left w:type="dxa" w:w="110"/>
              <w:bottom w:type="dxa" w:w="80"/>
              <w:right w:type="dxa" w:w="110"/>
            </w:tcMar>
          </w:tcPr>
          <w:p>
            <w:pPr>
              <w:spacing w:after="0" w:line="260"/>
            </w:pPr>
            <w:r>
              <w:rPr>
                <w:rFonts w:ascii="Calibri" w:cs="Calibri" w:eastAsia="Calibri" w:hAnsi="Calibri"/>
                <w:b/>
                <w:bCs/>
                <w:color w:val="344054"/>
                <w:sz w:val="19"/>
                <w:szCs w:val="19"/>
              </w:rPr>
              <w:t xml:space="preserve">Source</w:t>
            </w:r>
          </w:p>
        </w:tc>
        <w:tc>
          <w:tcPr>
            <w:tcW w:type="dxa" w:w="2160"/>
            <w:shd w:fill="F2F4F7" w:color="auto" w:val="clear"/>
            <w:tcMar>
              <w:top w:type="dxa" w:w="80"/>
              <w:left w:type="dxa" w:w="110"/>
              <w:bottom w:type="dxa" w:w="80"/>
              <w:right w:type="dxa" w:w="110"/>
            </w:tcMar>
          </w:tcPr>
          <w:p>
            <w:pPr>
              <w:spacing w:after="0" w:line="260"/>
            </w:pPr>
            <w:r>
              <w:rPr>
                <w:rFonts w:ascii="Calibri" w:cs="Calibri" w:eastAsia="Calibri" w:hAnsi="Calibri"/>
                <w:b/>
                <w:bCs/>
                <w:color w:val="344054"/>
                <w:sz w:val="19"/>
                <w:szCs w:val="19"/>
              </w:rPr>
              <w:t xml:space="preserve">What would confirm it</w:t>
            </w:r>
          </w:p>
        </w:tc>
      </w:tr>
      <w:t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US FTC opened an antitrust probe into Arm's licensing, reported May 2026. Regulators are examining whether Arm would refuse or degrade its CPU blueprints for third-party licensees while accelerating its own chip business. It follows scrutiny in Europe and South Korea.</w:t>
            </w:r>
          </w:p>
        </w:tc>
        <w:tc>
          <w:tcPr>
            <w:tcW w:type="dxa" w:w="30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Turns R1 from a commercial risk into a regulatory one, and cuts both ways. A remedy that forces Arm to license on non-discriminatory terms would cap the pricing power B1 rests on; the investigation alone gives large licensees leverage in renewal negotiations, and constrains how far Arm can favour its own silicon.</w:t>
            </w:r>
          </w:p>
        </w:tc>
        <w:tc>
          <w:tcPr>
            <w:tcW w:type="dxa" w:w="16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Bloomberg via Investing.com, 15 May 2026</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A formal complaint or consent decree; licensing-term concessions disclosed in a renewal; the probe appearing as a named legal proceeding in the next 20-F.</w:t>
            </w:r>
          </w:p>
        </w:tc>
      </w:tr>
      <w:t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Qualcomm is developing RISC-V CPU cores with Ventana for high-core-count, datacentre-class chiplets, alongside its Arm-based Oryon line; Meta is expanding RISC-V work around its MTIA accelerators. RISC-V penetration is put near 25% by units and about 10% by revenue (SHD Group).</w:t>
            </w:r>
          </w:p>
        </w:tc>
        <w:tc>
          <w:tcPr>
            <w:tcW w:type="dxa" w:w="30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This is R1's confirmation signal arriving early, and from the two names most exposed to Arm's move into silicon — Qualcomm is in litigation with Arm, Meta is the AGI CPU's lead partner. A shipping RISC-V server CPU from a current architecture licensee removes royalty-bearing sockets permanently.</w:t>
            </w:r>
          </w:p>
        </w:tc>
        <w:tc>
          <w:tcPr>
            <w:tcW w:type="dxa" w:w="16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eeNews Europe, Jan 2026; EE Times Asia; RISC-V International</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A RISC-V server CPU shipping in volume from a current Arm architecture licensee; RISC-V share rising in revenue terms, not only in unit terms.</w:t>
            </w:r>
          </w:p>
        </w:tc>
      </w:tr>
      <w:t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Morgan Stanley cut Arm to Equal-Weight on 7 April 2026, arguing merchant silicon carries 40-50% gross margins against Arm's historic 95%+, and that the R&amp;D surge behind the AI CPU will weigh on operating income for at least eight quarters. DRAM supply constraints were cited as a possible cap on FY2027 growth.</w:t>
            </w:r>
          </w:p>
        </w:tc>
        <w:tc>
          <w:tcPr>
            <w:tcW w:type="dxa" w:w="30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Puts an outside number on R4 and R5. If AGI CPU revenue carries a 40-50% gross margin, then roughly $2bn of silicon against ~$5bn of IP revenue pulls consolidated gross margin from ~97% toward the low 80s — before any inventory or warranty cost. That is the mix arithmetic the memo flags, quantified.</w:t>
            </w:r>
          </w:p>
        </w:tc>
        <w:tc>
          <w:tcPr>
            <w:tcW w:type="dxa" w:w="16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Morgan Stanley via Benzinga, Seeking Alpha and Investing.com, 7 Apr 2026</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The first disclosed gross margin on the silicon line landing in the 40-50% band; consolidated gross margin falling below the mid-90s as AGI ships.</w:t>
            </w:r>
          </w:p>
        </w:tc>
      </w:tr>
      <w:t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SoftBank has been reported in talks for a roughly $5bn margin loan secured on its Arm shares to fund its OpenAI investment, and separately secured a $10bn margin loan against its OpenAI stake in August 2026.</w:t>
            </w:r>
          </w:p>
        </w:tc>
        <w:tc>
          <w:tcPr>
            <w:tcW w:type="dxa" w:w="30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A structural overhang the 20-F does not carry. Arm's share price becomes collateral in SoftBank's unrelated leverage: a fall in ARM can trigger margin calls at the 86.4% holder, and the cheapest way to raise cash against a controlled asset is to sell some of it. Minority holders bear a forced-seller risk created outside the business.</w:t>
            </w:r>
          </w:p>
        </w:tc>
        <w:tc>
          <w:tcPr>
            <w:tcW w:type="dxa" w:w="16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Bloomberg via Seeking Alpha, 2026; Bloomberg, 6 Aug 2026</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Disclosure of pledged share counts or margin-call thresholds; a registered secondary offering; SoftBank's own filings showing Arm shares encumbered.</w:t>
            </w:r>
          </w:p>
        </w:tc>
      </w:tr>
      <w:tr>
        <w:tc>
          <w:tcPr>
            <w:tcW w:type="dxa" w:w="25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NVIDIA sold its remaining Arm shares in February 2026 — about 1.1 million shares, roughly $140m — while deepening the technical partnership through Vera.</w:t>
            </w:r>
          </w:p>
        </w:tc>
        <w:tc>
          <w:tcPr>
            <w:tcW w:type="dxa" w:w="30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Minor in dollars and not a thesis input on its own. It matters only as evidence that ownership and partnership have decoupled: Arm's most important ecosystem partner has no equity reason to protect it, which is worth remembering when reading partnership announcements as if they were commitments.</w:t>
            </w:r>
          </w:p>
        </w:tc>
        <w:tc>
          <w:tcPr>
            <w:tcW w:type="dxa" w:w="162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Bloomberg, CNBC and Tom's Hardware, 17-18 Feb 2026</w:t>
            </w:r>
          </w:p>
        </w:tc>
        <w:tc>
          <w:tcPr>
            <w:tcW w:type="dxa" w:w="2160"/>
            <w:tcMar>
              <w:top w:type="dxa" w:w="80"/>
              <w:left w:type="dxa" w:w="110"/>
              <w:bottom w:type="dxa" w:w="80"/>
              <w:right w:type="dxa" w:w="110"/>
            </w:tcMar>
          </w:tcPr>
          <w:p>
            <w:pPr>
              <w:spacing w:after="0" w:line="260"/>
            </w:pPr>
            <w:r>
              <w:rPr>
                <w:rFonts w:ascii="Calibri" w:cs="Calibri" w:eastAsia="Calibri" w:hAnsi="Calibri"/>
                <w:color w:val="1D2939"/>
                <w:sz w:val="19"/>
                <w:szCs w:val="19"/>
              </w:rPr>
              <w:t xml:space="preserve">Nothing to confirm — treat as context, not a signal.</w:t>
            </w:r>
          </w:p>
        </w:tc>
      </w:tr>
    </w:tbl>
    <w:p>
      <w:pPr>
        <w:pStyle w:val="Heading1"/>
        <w:spacing w:after="150" w:before="280"/>
      </w:pPr>
      <w:r>
        <w:rPr>
          <w:rFonts w:ascii="Calibri" w:cs="Calibri" w:eastAsia="Calibri" w:hAnsi="Calibri"/>
          <w:b/>
          <w:bCs/>
          <w:color w:val="101828"/>
          <w:sz w:val="30"/>
          <w:szCs w:val="30"/>
        </w:rPr>
        <w:t xml:space="preserve">6. Bottom line</w:t>
      </w:r>
    </w:p>
    <w:p>
      <w:pPr>
        <w:spacing w:after="120" w:line="276"/>
      </w:pPr>
      <w:r>
        <w:rPr>
          <w:rFonts w:ascii="Calibri" w:cs="Calibri" w:eastAsia="Calibri" w:hAnsi="Calibri"/>
          <w:color w:val="1D2939"/>
          <w:sz w:val="21"/>
          <w:szCs w:val="21"/>
        </w:rPr>
        <w:t xml:space="preserve">The stock could work because Arm is repricing a socket it already owns — royalty per chip rising above 20% a year on a flat unit base — while the data center adds a structurally higher-value royalty pool and the AGI CPU turns some sockets from a royalty into a whole chip sale.</w:t>
      </w:r>
    </w:p>
    <w:p>
      <w:pPr>
        <w:spacing w:after="120" w:line="276"/>
      </w:pPr>
      <w:r>
        <w:rPr>
          <w:rFonts w:ascii="Calibri" w:cs="Calibri" w:eastAsia="Calibri" w:hAnsi="Calibri"/>
          <w:color w:val="1D2939"/>
          <w:sz w:val="21"/>
          <w:szCs w:val="21"/>
        </w:rPr>
        <w:t xml:space="preserve">For that, Armv9 and CSS mix must keep lifting royalty per chip, Neoverse adoption at AWS, Google, Microsoft, NVIDIA and Qualcomm must keep compounding, the &gt;$2bn of AGI CPU demand must convert to shipped revenue from end-2026, and R&amp;D growth must eventually fall below revenue growth.</w:t>
      </w:r>
    </w:p>
    <w:p>
      <w:pPr>
        <w:spacing w:after="120" w:line="276"/>
      </w:pPr>
      <w:r>
        <w:rPr>
          <w:rFonts w:ascii="Calibri" w:cs="Calibri" w:eastAsia="Calibri" w:hAnsi="Calibri"/>
          <w:color w:val="1D2939"/>
          <w:sz w:val="21"/>
          <w:szCs w:val="21"/>
        </w:rPr>
        <w:t xml:space="preserve">The thesis most likely breaks not in a bad quarter but through licensees responding to Arm becoming their competitor — funding RISC-V or in-house architectures for sockets they currently pay royalties on — a decision invisible for years and irreversible once made.</w:t>
      </w:r>
    </w:p>
    <w:p>
      <w:pPr>
        <w:spacing w:after="120" w:line="276"/>
      </w:pPr>
      <w:r>
        <w:rPr>
          <w:rFonts w:ascii="Calibri" w:cs="Calibri" w:eastAsia="Calibri" w:hAnsi="Calibri"/>
          <w:color w:val="1D2939"/>
          <w:sz w:val="21"/>
          <w:szCs w:val="21"/>
        </w:rPr>
        <w:t xml:space="preserve">I would change my mind if the SoftBank consulting line flattened while ACV growth stayed in the low teens — putting organic growth nearer 9% than 22% — if a major architecture licensee announced a non-Arm core in a segment it ships Arm in today, or if the AGI ramp reset consolidated gross margin below the mid-80s.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93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 Holdings — Bull &amp; Bear Memo</dc:title>
  <dc:creator>Kun Xia</dc:creator>
  <cp:lastModifiedBy>Un-named</cp:lastModifiedBy>
  <cp:revision>1</cp:revision>
  <dcterms:created xsi:type="dcterms:W3CDTF">2026-09-10T03:14:38.670Z</dcterms:created>
  <dcterms:modified xsi:type="dcterms:W3CDTF">2026-09-10T03:14:38.671Z</dcterms:modified>
</cp:coreProperties>
</file>

<file path=docProps/custom.xml><?xml version="1.0" encoding="utf-8"?>
<Properties xmlns="http://schemas.openxmlformats.org/officeDocument/2006/custom-properties" xmlns:vt="http://schemas.openxmlformats.org/officeDocument/2006/docPropsVTypes"/>
</file>