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left"/>
      </w:pPr>
      <w:r>
        <w:rPr>
          <w:rFonts w:ascii="Arial" w:cs="Arial" w:eastAsia="Arial" w:hAnsi="Arial"/>
          <w:b/>
          <w:bCs/>
          <w:color w:val="1F3864"/>
          <w:sz w:val="52"/>
          <w:szCs w:val="52"/>
        </w:rPr>
        <w:t xml:space="preserve">Business Overview</w:t>
      </w:r>
    </w:p>
    <w:p>
      <w:pPr>
        <w:spacing w:after="400"/>
        <w:jc w:val="left"/>
      </w:pPr>
      <w:r>
        <w:rPr>
          <w:rFonts w:ascii="Arial" w:cs="Arial" w:eastAsia="Arial" w:hAnsi="Arial"/>
          <w:b/>
          <w:bCs/>
          <w:sz w:val="44"/>
          <w:szCs w:val="44"/>
        </w:rPr>
        <w:t xml:space="preserve">Alibaba Group Holding Limited</w:t>
      </w:r>
    </w:p>
    <w:p>
      <w:pPr>
        <w:spacing w:after="700"/>
      </w:pPr>
      <w:r>
        <w:rPr>
          <w:rFonts w:ascii="Arial" w:cs="Arial" w:eastAsia="Arial" w:hAnsi="Arial"/>
          <w:color w:val="595959"/>
          <w:sz w:val="24"/>
          <w:szCs w:val="24"/>
        </w:rPr>
        <w:t xml:space="preserve">NYSE: BABA  ·  HKEX: 9988 / 89988  ·  Fiscal year ends 31 March</w:t>
      </w:r>
    </w:p>
    <w:p>
      <w:pPr>
        <w:spacing w:after="300" w:line="276"/>
      </w:pPr>
      <w:r>
        <w:rPr>
          <w:rFonts w:ascii="Arial" w:cs="Arial" w:eastAsia="Arial" w:hAnsi="Arial"/>
          <w:b/>
          <w:bCs/>
          <w:sz w:val="24"/>
          <w:szCs w:val="24"/>
        </w:rPr>
        <w:t xml:space="preserve">7 September 2026</w:t>
      </w:r>
    </w:p>
    <w:p>
      <w:pPr>
        <w:spacing w:after="200" w:line="276"/>
      </w:pPr>
      <w:r>
        <w:rPr>
          <w:rFonts w:ascii="Arial" w:cs="Arial" w:eastAsia="Arial" w:hAnsi="Arial"/>
          <w:sz w:val="20"/>
          <w:szCs w:val="20"/>
        </w:rPr>
        <w:t xml:space="preserve">Evidence base: Alibaba's SEC filings held in the analyst's research folder — Form 20-F for fiscal years 2017 through 2026 (the FY2026 20-F, covering the year ended 31 March 2026, filed 20 May 2026) and Form 6-K filings through 4 September 2026. Industry structure, competitor economics, official retail and cloud statistics, and events after 20 May 2026 are drawn from independent and primary outside sources, each cited where used.</w:t>
      </w:r>
    </w:p>
    <w:p>
      <w:pPr>
        <w:spacing w:after="300" w:line="276"/>
      </w:pPr>
      <w:r>
        <w:rPr>
          <w:rFonts w:ascii="Arial" w:cs="Arial" w:eastAsia="Arial" w:hAnsi="Arial"/>
          <w:sz w:val="20"/>
          <w:szCs w:val="20"/>
        </w:rPr>
        <w:t xml:space="preserve">Figures are in Renminbi as reported unless stated. Percentages not printed in the filings are computed from reported figures. Items marked (inferred) are conclusions reasoned from sourced facts; items marked (unknown) or NOT FOUND could not be established from any source read.</w:t>
      </w:r>
    </w:p>
    <w:p>
      <w:pPr>
        <w:spacing w:after="160" w:line="276"/>
      </w:pPr>
      <w:r>
        <w:rPr>
          <w:rFonts w:ascii="Arial" w:cs="Arial" w:eastAsia="Arial" w:hAnsi="Arial"/>
          <w:b/>
          <w:bCs/>
          <w:sz w:val="20"/>
          <w:szCs w:val="20"/>
        </w:rPr>
        <w:t xml:space="preserve">This document explains how the business works and where its economics come from. It is not a valuation and not a recommendation.</w:t>
      </w:r>
    </w:p>
    <w:p>
      <w:pPr>
        <w:pStyle w:val="Heading1"/>
        <w:pageBreakBefore/>
        <w:spacing w:after="200" w:before="360"/>
      </w:pPr>
      <w:r>
        <w:rPr>
          <w:rFonts w:ascii="Arial" w:cs="Arial" w:eastAsia="Arial" w:hAnsi="Arial"/>
          <w:b/>
          <w:bCs/>
          <w:color w:val="1F3864"/>
          <w:sz w:val="32"/>
          <w:szCs w:val="32"/>
        </w:rPr>
        <w:t xml:space="preserve">1. Executive Snapshot</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6700"/>
      </w:tblGrid>
      <w:tr>
        <w:trPr>
          <w:tblHeader/>
        </w:trPr>
        <w:tc>
          <w:tcPr>
            <w:tcW w:type="dxa" w:w="23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Item</w:t>
            </w:r>
          </w:p>
        </w:tc>
        <w:tc>
          <w:tcPr>
            <w:tcW w:type="dxa" w:w="67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Summary</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the business is</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Two businesses under one holding company: a Chinese commerce marketplace that rents attention and transaction infrastructure to third-party merchants, and a cloud and AI compute business now consuming most of the group's capital.</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Industry</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Chinese online retail and instant retail; Chinese public cloud and AI infrastructure.</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How it makes money, in one sentence</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Merchants sell goods Alibaba does not own; Alibaba levies advertising fees, a commission and a software service fee on the transaction, and separately rents metered compute to enterprises.</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Unit of economics</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One yuan of merchandise sold by a third party on the marketplaces. Alibaba's levy on it, the take rate, is defined in the FY2026 20-F glossary but is no longer quantified, and neither is the GMV denominator (FY2026 20-F). Last disclosed figure: 3.03% in FY2017.</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protects it</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Merchant demand aggregation and the advertising auction that prices it; a 33% interest in Ant Group and a 50-year preferential payments agreement; the largest Chinese cloud installed base (Omdia, IDC); the most-downloaded open-weight model family in the world (ATOM Report, April 2026).</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drives earnings</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take rate on core marketplace transactions; cloud revenue growth against a fixed-cost fleet; the rate at which quick-commerce and consumer-AI subsidies are withdrawn.</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to watch</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Sales and marketing as a share of revenue (23.9% in FY2026, from 12.2% two years earlier); cloud adjusted EBITA margin; free cash flow against a capex programme running at roughly twice its announced pace.</w:t>
            </w:r>
          </w:p>
        </w:tc>
      </w:tr>
      <w:tr>
        <w:trPr>
          <w:tblHeader w:val="false"/>
        </w:trPr>
        <w:tc>
          <w:tcPr>
            <w:tcW w:type="dxa" w:w="2300"/>
            <w:tcMar>
              <w:top w:type="dxa" w:w="80"/>
              <w:left w:type="dxa" w:w="120"/>
              <w:bottom w:type="dxa" w:w="80"/>
              <w:right w:type="dxa" w:w="120"/>
            </w:tcMar>
          </w:tcPr>
          <w:p>
            <w:pPr>
              <w:spacing w:after="0" w:line="260"/>
              <w:jc w:val="left"/>
            </w:pPr>
            <w:r>
              <w:rPr>
                <w:rFonts w:ascii="Arial" w:cs="Arial" w:eastAsia="Arial" w:hAnsi="Arial"/>
                <w:b/>
                <w:bCs/>
                <w:sz w:val="20"/>
                <w:szCs w:val="20"/>
              </w:rPr>
              <w:t xml:space="preserve">Cycle exposure</w:t>
            </w:r>
          </w:p>
        </w:tc>
        <w:tc>
          <w:tcPr>
            <w:tcW w:type="dxa" w:w="670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High, and currently at a self-inflicted trough rather than a peak. Group adjusted EBITA fell 56% in FY2026 and free cash flow turned negative for the first time.</w:t>
            </w:r>
          </w:p>
        </w:tc>
      </w:tr>
    </w:tbl>
    <w:p>
      <w:pPr>
        <w:pStyle w:val="Heading1"/>
        <w:pageBreakBefore/>
        <w:spacing w:after="200" w:before="360"/>
      </w:pPr>
      <w:r>
        <w:rPr>
          <w:rFonts w:ascii="Arial" w:cs="Arial" w:eastAsia="Arial" w:hAnsi="Arial"/>
          <w:b/>
          <w:bCs/>
          <w:color w:val="1F3864"/>
          <w:sz w:val="32"/>
          <w:szCs w:val="32"/>
        </w:rPr>
        <w:t xml:space="preserve">2. What the Company Does</w:t>
      </w:r>
    </w:p>
    <w:p>
      <w:pPr>
        <w:spacing w:after="160" w:line="276"/>
      </w:pPr>
      <w:r>
        <w:rPr>
          <w:rFonts w:ascii="Arial" w:cs="Arial" w:eastAsia="Arial" w:hAnsi="Arial"/>
          <w:sz w:val="22"/>
          <w:szCs w:val="22"/>
        </w:rPr>
        <w:t xml:space="preserve">The customer with the problem is not the shopper. It is the merchant. There are millions of Chinese sellers offering broadly interchangeable goods, and the scarce thing is not shelf space but a buyer's attention at the moment of intent. Alibaba's marketplaces assemble that attention at national scale and sell access to it. Everything else the company does — escrow, logistics, membership programmes, and now thirty-minute delivery — exists to keep the attention pooled where Alibaba can auction it.</w:t>
      </w:r>
    </w:p>
    <w:p>
      <w:pPr>
        <w:spacing w:after="160" w:line="276"/>
      </w:pPr>
      <w:r>
        <w:rPr>
          <w:rFonts w:ascii="Arial" w:cs="Arial" w:eastAsia="Arial" w:hAnsi="Arial"/>
          <w:sz w:val="22"/>
          <w:szCs w:val="22"/>
        </w:rPr>
        <w:t xml:space="preserve">Alibaba is not the seller. On Taobao and Tmall it takes no title to the merchandise and books no revenue on its value; the goods belong to the merchant and the transaction is between merchant and consumer. This is the single fact that explains the company's historical margin structure, and the reason its economics diverge so sharply from those of an inventory-owning retailer.</w:t>
      </w:r>
    </w:p>
    <w:p>
      <w:pPr>
        <w:pStyle w:val="Heading2"/>
        <w:spacing w:after="180" w:before="180"/>
      </w:pPr>
      <w:r>
        <w:rPr>
          <w:rFonts w:ascii="Arial" w:cs="Arial" w:eastAsia="Arial" w:hAnsi="Arial"/>
          <w:b/>
          <w:bCs/>
          <w:color w:val="1F3864"/>
          <w:sz w:val="28"/>
          <w:szCs w:val="28"/>
        </w:rPr>
        <w:t xml:space="preserve">Naming the unit, and tracing it</w:t>
      </w:r>
    </w:p>
    <w:p>
      <w:pPr>
        <w:spacing w:after="160" w:line="276"/>
      </w:pPr>
      <w:r>
        <w:rPr>
          <w:rFonts w:ascii="Arial" w:cs="Arial" w:eastAsia="Arial" w:hAnsi="Arial"/>
          <w:sz w:val="22"/>
          <w:szCs w:val="22"/>
        </w:rPr>
        <w:t xml:space="preserve">The unit of economics is one yuan of merchandise sold by a third party on the marketplaces. Alibaba's earnings on that unit come from three levies, all of which sit in one reported line called customer management revenue:</w:t>
      </w:r>
    </w:p>
    <w:p>
      <w:pPr>
        <w:pStyle w:val="ListParagraph"/>
        <w:numPr>
          <w:ilvl w:val="0"/>
          <w:numId w:val="2"/>
        </w:numPr>
        <w:spacing w:after="120" w:line="276"/>
      </w:pPr>
      <w:r>
        <w:rPr>
          <w:rFonts w:ascii="Arial" w:cs="Arial" w:eastAsia="Arial" w:hAnsi="Arial"/>
          <w:b/>
          <w:bCs/>
          <w:sz w:val="22"/>
          <w:szCs w:val="22"/>
        </w:rPr>
        <w:t xml:space="preserve">Advertising, sold by auction. </w:t>
      </w:r>
      <w:r>
        <w:rPr>
          <w:rFonts w:ascii="Arial" w:cs="Arial" w:eastAsia="Arial" w:hAnsi="Arial"/>
          <w:sz w:val="22"/>
          <w:szCs w:val="22"/>
        </w:rPr>
        <w:t xml:space="preserve">Merchants bid for keywords and audiences on a cost-per-click basis and prepay into the account; revenue is recognised when the click occurs. Cost-per-thousand-impression and time-based placements are sold alongside. The ranking algorithm weights the bid together with item popularity, quality and merchant feedback (FY2026 20-F).</w:t>
      </w:r>
    </w:p>
    <w:p>
      <w:pPr>
        <w:pStyle w:val="ListParagraph"/>
        <w:numPr>
          <w:ilvl w:val="0"/>
          <w:numId w:val="2"/>
        </w:numPr>
        <w:spacing w:after="120" w:line="276"/>
      </w:pPr>
      <w:r>
        <w:rPr>
          <w:rFonts w:ascii="Arial" w:cs="Arial" w:eastAsia="Arial" w:hAnsi="Arial"/>
          <w:b/>
          <w:bCs/>
          <w:sz w:val="22"/>
          <w:szCs w:val="22"/>
        </w:rPr>
        <w:t xml:space="preserve">A commission on completed sales, </w:t>
      </w:r>
      <w:r>
        <w:rPr>
          <w:rFonts w:ascii="Arial" w:cs="Arial" w:eastAsia="Arial" w:hAnsi="Arial"/>
          <w:sz w:val="22"/>
          <w:szCs w:val="22"/>
        </w:rPr>
        <w:t xml:space="preserve">set as a percentage of merchandise value and "typically ranging from 0.1% to 5.0% for Tmall depending on the product category" (FY2026 20-F). The floor was 0.3% as recently as the FY2023 20-F; it has been cut to 0.1%.</w:t>
      </w:r>
    </w:p>
    <w:p>
      <w:pPr>
        <w:pStyle w:val="ListParagraph"/>
        <w:numPr>
          <w:ilvl w:val="0"/>
          <w:numId w:val="2"/>
        </w:numPr>
        <w:spacing w:after="120" w:line="276"/>
      </w:pPr>
      <w:r>
        <w:rPr>
          <w:rFonts w:ascii="Arial" w:cs="Arial" w:eastAsia="Arial" w:hAnsi="Arial"/>
          <w:b/>
          <w:bCs/>
          <w:sz w:val="22"/>
          <w:szCs w:val="22"/>
        </w:rPr>
        <w:t xml:space="preserve">A software service fee on GMV, </w:t>
      </w:r>
      <w:r>
        <w:rPr>
          <w:rFonts w:ascii="Arial" w:cs="Arial" w:eastAsia="Arial" w:hAnsi="Arial"/>
          <w:sz w:val="22"/>
          <w:szCs w:val="22"/>
        </w:rPr>
        <w:t xml:space="preserve">imposed on all completed transactions since September 2024 (FY2026 20-F). The rate is not disclosed. This is the first platform-wide, non-optional levy Alibaba has added in years, and it is the most likely mechanical source of the take-rate improvement the company claims for FY2026 (inferred).</w:t>
      </w:r>
    </w:p>
    <w:p>
      <w:pPr>
        <w:spacing w:after="160" w:line="276"/>
      </w:pPr>
      <w:r>
        <w:rPr>
          <w:rFonts w:ascii="Arial" w:cs="Arial" w:eastAsia="Arial" w:hAnsi="Arial"/>
          <w:sz w:val="22"/>
          <w:szCs w:val="22"/>
        </w:rPr>
        <w:t xml:space="preserve">Follow one order through. A consumer pays; the money settles through Alipay, which Alibaba does not own, into escrow, and releases to the merchant on receipt. Alibaba pays Alipay for that service — RMB18,019 million in FY2026, up 37% in two years from RMB13,164 million in FY2024 — and the fee sits in cost of revenue, with the rate reset annually by a committee of Alibaba's independent directors (FY2026 20-F). Against that cost Alibaba collects the prepaid advertising bid, the commission and the software fee, plus a logistics fee if Cainiao or Fengniao carried the parcel. What it never collects is a margin on the merchandise itself.</w:t>
      </w:r>
    </w:p>
    <w:p>
      <w:pPr>
        <w:pStyle w:val="Heading2"/>
        <w:spacing w:after="180" w:before="180"/>
      </w:pPr>
      <w:r>
        <w:rPr>
          <w:rFonts w:ascii="Arial" w:cs="Arial" w:eastAsia="Arial" w:hAnsi="Arial"/>
          <w:b/>
          <w:bCs/>
          <w:color w:val="1F3864"/>
          <w:sz w:val="28"/>
          <w:szCs w:val="28"/>
        </w:rPr>
        <w:t xml:space="preserve">Where the revenue actually sits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1500"/>
        <w:gridCol w:w="1500"/>
        <w:gridCol w:w="1500"/>
        <w:gridCol w:w="1400"/>
      </w:tblGrid>
      <w:tr>
        <w:trPr>
          <w:tblHeader/>
        </w:trPr>
        <w:tc>
          <w:tcPr>
            <w:tcW w:type="dxa" w:w="31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 by type (RMB m)</w:t>
            </w:r>
          </w:p>
        </w:tc>
        <w:tc>
          <w:tcPr>
            <w:tcW w:type="dxa" w:w="15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FY2024</w:t>
            </w:r>
          </w:p>
        </w:tc>
        <w:tc>
          <w:tcPr>
            <w:tcW w:type="dxa" w:w="15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FY2025</w:t>
            </w:r>
          </w:p>
        </w:tc>
        <w:tc>
          <w:tcPr>
            <w:tcW w:type="dxa" w:w="15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FY2026</w:t>
            </w:r>
          </w:p>
        </w:tc>
        <w:tc>
          <w:tcPr>
            <w:tcW w:type="dxa" w:w="14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 of FY26</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Customer management services</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386,571</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424,877</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459,917</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44.9%</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Sales of goods</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283,273</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274,276</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227,747</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22.2%</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Logistics services</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114,073</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123,379</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139,864</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13.7%</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Cloud services</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76,459</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84,517</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112,077</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10.9%</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Membership fees and value-added services</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41,956</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46,613</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47,638</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4.7%</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Other revenue</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38,836</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42,685</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36,427</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3.6%</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Total revenue</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941,168</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996,347</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1,023,670</w:t>
            </w:r>
          </w:p>
        </w:tc>
        <w:tc>
          <w:tcPr>
            <w:tcW w:type="dxa" w:w="1400"/>
            <w:tcMar>
              <w:top w:type="dxa" w:w="80"/>
              <w:left w:type="dxa" w:w="120"/>
              <w:bottom w:type="dxa" w:w="80"/>
              <w:right w:type="dxa" w:w="120"/>
            </w:tcMar>
          </w:tcPr>
          <w:p>
            <w:pPr>
              <w:spacing w:after="0" w:line="260"/>
              <w:jc w:val="right"/>
            </w:pPr>
            <w:r>
              <w:rPr>
                <w:rFonts w:ascii="Arial" w:cs="Arial" w:eastAsia="Arial" w:hAnsi="Arial"/>
                <w:sz w:val="20"/>
                <w:szCs w:val="20"/>
              </w:rPr>
              <w:t xml:space="preserve">100%</w:t>
            </w:r>
          </w:p>
        </w:tc>
      </w:tr>
    </w:tbl>
    <w:p>
      <w:pPr>
        <w:spacing w:after="200" w:before="100" w:line="260"/>
      </w:pPr>
      <w:r>
        <w:rPr>
          <w:rFonts w:ascii="Arial" w:cs="Arial" w:eastAsia="Arial" w:hAnsi="Arial"/>
          <w:i/>
          <w:iCs/>
          <w:color w:val="595959"/>
          <w:sz w:val="18"/>
          <w:szCs w:val="18"/>
        </w:rPr>
        <w:t xml:space="preserve">Source: FY2026 20-F, note 5. Percentages of FY2026 revenue computed. Sales of goods fell 17% over two years chiefly because Alibaba sold the Sun Art and Intime store chains.</w:t>
      </w:r>
    </w:p>
    <w:p>
      <w:pPr>
        <w:spacing w:after="160" w:line="276"/>
      </w:pPr>
      <w:r>
        <w:rPr>
          <w:rFonts w:ascii="Arial" w:cs="Arial" w:eastAsia="Arial" w:hAnsi="Arial"/>
          <w:sz w:val="22"/>
          <w:szCs w:val="22"/>
        </w:rPr>
        <w:t xml:space="preserve">Nearly half of group revenue is the levy on other people's sales, and almost none of it carries a cost of goods. That is the engine. Sales of goods — the second-largest line — is the low-margin residue of the physical-retail experiments the company is now exiting.</w:t>
      </w:r>
    </w:p>
    <w:p>
      <w:pPr>
        <w:pStyle w:val="Heading2"/>
        <w:spacing w:after="180" w:before="180"/>
      </w:pPr>
      <w:r>
        <w:rPr>
          <w:rFonts w:ascii="Arial" w:cs="Arial" w:eastAsia="Arial" w:hAnsi="Arial"/>
          <w:b/>
          <w:bCs/>
          <w:color w:val="1F3864"/>
          <w:sz w:val="28"/>
          <w:szCs w:val="28"/>
        </w:rPr>
        <w:t xml:space="preserve">The second business: metered compute</w:t>
      </w:r>
    </w:p>
    <w:p>
      <w:pPr>
        <w:spacing w:after="160" w:line="276"/>
      </w:pPr>
      <w:r>
        <w:rPr>
          <w:rFonts w:ascii="Arial" w:cs="Arial" w:eastAsia="Arial" w:hAnsi="Arial"/>
          <w:sz w:val="22"/>
          <w:szCs w:val="22"/>
        </w:rPr>
        <w:t xml:space="preserve">Cloud sells a different unit. Public cloud customers buy elastic compute, storage, database and model-serving capacity and pay either by subscription, recognised rateably, or by consumption, recognised on utilisation (FY2026 20-F, note 2(g)). Non-public cloud is sold as packaged contracts combining hardware, licences, installation and maintenance, with revenue allocated across performance obligations. The company discloses no price per instance-hour or per gigabyte, and no longer discloses a paying-customer count; it disclosed 874,000 cloud paying customers at 31 March 2017 and none since.</w:t>
      </w:r>
    </w:p>
    <w:p>
      <w:pPr>
        <w:spacing w:after="160" w:line="276"/>
      </w:pPr>
      <w:r>
        <w:rPr>
          <w:rFonts w:ascii="Arial" w:cs="Arial" w:eastAsia="Arial" w:hAnsi="Arial"/>
          <w:sz w:val="22"/>
          <w:szCs w:val="22"/>
        </w:rPr>
        <w:t xml:space="preserve">A newer unit is emerging inside cloud: the inference token. Alibaba publishes the Qwen model family with open weights, which earns no licence revenue at all, and monetises the workloads those models pull onto its own metal through Model-as-a-Service. Reported AI-related product revenue reached RMB12,376 million in the June 2026 quarter, roughly a quarter of the segment's revenue, having grown at triple-digit rates for twelve consecutive quarters (June Quarter 2026 results, 20 August 2026).</w:t>
      </w:r>
    </w:p>
    <w:p>
      <w:pPr>
        <w:pStyle w:val="Heading2"/>
        <w:spacing w:after="180" w:before="180"/>
      </w:pPr>
      <w:r>
        <w:rPr>
          <w:rFonts w:ascii="Arial" w:cs="Arial" w:eastAsia="Arial" w:hAnsi="Arial"/>
          <w:b/>
          <w:bCs/>
          <w:color w:val="1F3864"/>
          <w:sz w:val="28"/>
          <w:szCs w:val="28"/>
        </w:rPr>
        <w:t xml:space="preserve">What has been entered, and what has been sold</w:t>
      </w:r>
    </w:p>
    <w:p>
      <w:pPr>
        <w:spacing w:after="160" w:line="276"/>
      </w:pPr>
      <w:r>
        <w:rPr>
          <w:rFonts w:ascii="Arial" w:cs="Arial" w:eastAsia="Arial" w:hAnsi="Arial"/>
          <w:sz w:val="22"/>
          <w:szCs w:val="22"/>
        </w:rPr>
        <w:t xml:space="preserve">The direction of travel over two years is out of owned inventory and into owned compute. Alibaba disposed of the Sun Art hypermarket chain and the Intime department stores during FY2025, completed the Intime exit and sold 85% of Trendyol GO in FY2026, and agreed to sell Lingxi Games in August 2026 (FY2026 20-F; Alibaba disclosures reported 17 August 2026). Each removed revenue that carried a cost of goods and very little profit. In the opposite direction it launched Taobao Instant Commerce in April 2025 — a delivery business with a rider fleet attached — and a consumer AI application whose user-acquisition spend is now a named driver of group operating expense.</w:t>
      </w:r>
    </w:p>
    <w:p>
      <w:pPr>
        <w:pStyle w:val="Heading1"/>
        <w:pageBreakBefore/>
        <w:spacing w:after="200" w:before="360"/>
      </w:pPr>
      <w:r>
        <w:rPr>
          <w:rFonts w:ascii="Arial" w:cs="Arial" w:eastAsia="Arial" w:hAnsi="Arial"/>
          <w:b/>
          <w:bCs/>
          <w:color w:val="1F3864"/>
          <w:sz w:val="32"/>
          <w:szCs w:val="32"/>
        </w:rPr>
        <w:t xml:space="preserve">3. Industry, Competitive Position and Moat</w:t>
      </w:r>
    </w:p>
    <w:p>
      <w:pPr>
        <w:pStyle w:val="Heading2"/>
        <w:spacing w:after="180" w:before="180"/>
      </w:pPr>
      <w:r>
        <w:rPr>
          <w:rFonts w:ascii="Arial" w:cs="Arial" w:eastAsia="Arial" w:hAnsi="Arial"/>
          <w:b/>
          <w:bCs/>
          <w:color w:val="1F3864"/>
          <w:sz w:val="28"/>
          <w:szCs w:val="28"/>
        </w:rPr>
        <w:t xml:space="preserve">What the industry sells, and where the profit sits</w:t>
      </w:r>
    </w:p>
    <w:p>
      <w:pPr>
        <w:spacing w:after="160" w:line="276"/>
      </w:pPr>
      <w:r>
        <w:rPr>
          <w:rFonts w:ascii="Arial" w:cs="Arial" w:eastAsia="Arial" w:hAnsi="Arial"/>
          <w:sz w:val="22"/>
          <w:szCs w:val="22"/>
        </w:rPr>
        <w:t xml:space="preserve">Chinese e-commerce sells two different products and conflating them is the common error. To consumers it sells goods and, increasingly, speed. To merchants — and this is the profit product — it sells demand certainty: traffic, transaction infrastructure and dispute resolution. The profit pool sits with whoever monetises merchant competition for attention, and it sits nowhere else along the chain.</w:t>
      </w:r>
    </w:p>
    <w:p>
      <w:pPr>
        <w:spacing w:after="160" w:line="276"/>
      </w:pPr>
      <w:r>
        <w:rPr>
          <w:rFonts w:ascii="Arial" w:cs="Arial" w:eastAsia="Arial" w:hAnsi="Arial"/>
          <w:sz w:val="22"/>
          <w:szCs w:val="22"/>
        </w:rPr>
        <w:t xml:space="preserve">The reported margins of the participants make the point without argument. In their most recent full fiscal years, PDD Holdings earned a 21.9% operating margin on RMB431.8 billion of revenue with no logistics network and no instant-retail obligation (PDD FY2025 results, 25 March 2026). JD.com earned RMB2.8 billion of operating income on RMB1,309.1 billion of revenue — 0.2% — owning inventory and trucks (JD FY2025 results, 5 March 2026). Meituan, which owns the rider fleet, lost RMB25.0 billion at the operating line against a RMB36.8 billion profit the year before (Meituan FY2025 results, 26 March 2026). Alibaba's China e-commerce segment earned RMB107.5 billion of adjusted EBITA, a 19.4% margin (FY2026 20-F).</w:t>
      </w:r>
    </w:p>
    <w:p>
      <w:pPr>
        <w:spacing w:after="160" w:line="276"/>
      </w:pPr>
      <w:r>
        <w:rPr>
          <w:rFonts w:ascii="Arial" w:cs="Arial" w:eastAsia="Arial" w:hAnsi="Arial"/>
          <w:sz w:val="22"/>
          <w:szCs w:val="22"/>
        </w:rPr>
        <w:t xml:space="preserve">The rule that falls out of those four sets of accounts: the asset-light monetiser of merchant competition captures the profit, and every layer that owns a physical asset earns single digits or loses money. Chinese instant retail is the first business in fifteen years that forces the marketplace layer to own the asset-heavy layer.</w:t>
      </w:r>
    </w:p>
    <w:p>
      <w:pPr>
        <w:pStyle w:val="Heading2"/>
        <w:spacing w:after="180" w:before="180"/>
      </w:pPr>
      <w:r>
        <w:rPr>
          <w:rFonts w:ascii="Arial" w:cs="Arial" w:eastAsia="Arial" w:hAnsi="Arial"/>
          <w:b/>
          <w:bCs/>
          <w:color w:val="1F3864"/>
          <w:sz w:val="28"/>
          <w:szCs w:val="28"/>
        </w:rPr>
        <w:t xml:space="preserve">A share-transfer market, not a growth market</w:t>
      </w:r>
    </w:p>
    <w:p>
      <w:pPr>
        <w:spacing w:after="160" w:line="276"/>
      </w:pPr>
      <w:r>
        <w:rPr>
          <w:rFonts w:ascii="Arial" w:cs="Arial" w:eastAsia="Arial" w:hAnsi="Arial"/>
          <w:sz w:val="22"/>
          <w:szCs w:val="22"/>
        </w:rPr>
        <w:t xml:space="preserve">The demand backdrop has changed character. China's online retail of physical goods reached RMB13,092.3 billion in 2025, up 5.2%, and represented 26.1% of total retail sales (National Bureau of Statistics, 20 January 2026). In the seven months to July 2026 it grew 4.6% while total retail sales grew 1.2%, and July alone grew 0.6% (NBS, 17 August 2026). Online is still taking share from offline, but penetration gains have compressed to roughly a point a year against multi-point gains a decade ago.</w:t>
      </w:r>
    </w:p>
    <w:p>
      <w:pPr>
        <w:spacing w:after="160" w:line="276"/>
      </w:pPr>
      <w:r>
        <w:rPr>
          <w:rFonts w:ascii="Arial" w:cs="Arial" w:eastAsia="Arial" w:hAnsi="Arial"/>
          <w:sz w:val="22"/>
          <w:szCs w:val="22"/>
        </w:rPr>
        <w:t xml:space="preserve">The consequence is mechanical. If the total market grows around one percent and penetration adds around one point, essentially all remaining platform growth is transferred from a competitor rather than created. That is why a subsidy war broke out in 2025, and it is also why the category detail matters: online food and groceries grew 16.9% in the seven months to July 2026 while all other goods grew 1.1% (NBS). The only fast-growing pool left is the one that requires a delivery fleet.</w:t>
      </w:r>
    </w:p>
    <w:p>
      <w:pPr>
        <w:pStyle w:val="Heading2"/>
        <w:spacing w:after="180" w:before="180"/>
      </w:pPr>
      <w:r>
        <w:rPr>
          <w:rFonts w:ascii="Arial" w:cs="Arial" w:eastAsia="Arial" w:hAnsi="Arial"/>
          <w:b/>
          <w:bCs/>
          <w:color w:val="1F3864"/>
          <w:sz w:val="28"/>
          <w:szCs w:val="28"/>
        </w:rPr>
        <w:t xml:space="preserve">Position: strong in commerce, stronger in cloud</w:t>
      </w:r>
    </w:p>
    <w:p>
      <w:pPr>
        <w:spacing w:after="160" w:line="276"/>
      </w:pPr>
      <w:r>
        <w:rPr>
          <w:rFonts w:ascii="Arial" w:cs="Arial" w:eastAsia="Arial" w:hAnsi="Arial"/>
          <w:sz w:val="22"/>
          <w:szCs w:val="22"/>
        </w:rPr>
        <w:t xml:space="preserve">Alibaba's absolute profit pool in Chinese commerce is larger than any competitor's — its FY2026 China e-commerce adjusted EBITA exceeded PDD's entire operating profit. But absolute scale has not translated into superior unit economics: PDD's operating margin is several points above Alibaba's China e-commerce margin, achieved with a fraction of the assets. The scale advantage is real in the size of the pool and unproven in the economics of the unit. Market share cannot settle the question, because Alibaba stopped disclosing GMV and no independent tracker publishes verified platform shares; every circulating share figure is an unverifiable consultancy estimate (unknown).</w:t>
      </w:r>
    </w:p>
    <w:p>
      <w:pPr>
        <w:spacing w:after="160" w:line="276"/>
      </w:pPr>
      <w:r>
        <w:rPr>
          <w:rFonts w:ascii="Arial" w:cs="Arial" w:eastAsia="Arial" w:hAnsi="Arial"/>
          <w:sz w:val="22"/>
          <w:szCs w:val="22"/>
        </w:rPr>
        <w:t xml:space="preserve">In cloud the outside evidence is stronger and more consistent. Omdia put Alibaba Cloud at 37% of mainland China cloud infrastructure services in the fourth quarter of 2025, against Huawei Cloud at 17% and Tencent Cloud at about 10% (Omdia, 27 April 2026). IDC, using a wider public-cloud IaaS definition that includes the state telecom clouds, put Alibaba at 26.8% in the second quarter of 2025 — still roughly double the next vendor, and the only major vendor gaining share for five consecutive quarters. In the narrower market for large-model training and inference on public cloud, IDC put Alibaba at 42.2% of a RMB7.94 billion 2025 market. The two trackers are not interchangeable: on the broader definition Alibaba holds about a quarter of the market, not over a third.</w:t>
      </w:r>
    </w:p>
    <w:p>
      <w:pPr>
        <w:spacing w:after="160" w:line="276"/>
      </w:pPr>
      <w:r>
        <w:rPr>
          <w:rFonts w:ascii="Arial" w:cs="Arial" w:eastAsia="Arial" w:hAnsi="Arial"/>
          <w:sz w:val="22"/>
          <w:szCs w:val="22"/>
        </w:rPr>
        <w:t xml:space="preserve">The model layer is the best-evidenced position of all, and it earns nothing directly. The independent ATOM Report, tracking Hugging Face downloads to March 2026, counted 942.1 million cumulative downloads for the Qwen family against 476.0 million for Llama and 128.2 million for DeepSeek; in February 2026 Qwen accounted for 69% of all newly created fine-tuned derivative models (arXiv:2604.07190, 8 April 2026). Open weights generate no licence revenue. Their economic function is to make Alibaba's cloud the default place those workloads run.</w:t>
      </w:r>
    </w:p>
    <w:p>
      <w:pPr>
        <w:pStyle w:val="Heading2"/>
        <w:spacing w:after="180" w:before="180"/>
      </w:pPr>
      <w:r>
        <w:rPr>
          <w:rFonts w:ascii="Arial" w:cs="Arial" w:eastAsia="Arial" w:hAnsi="Arial"/>
          <w:b/>
          <w:bCs/>
          <w:color w:val="1F3864"/>
          <w:sz w:val="28"/>
          <w:szCs w:val="28"/>
        </w:rPr>
        <w:t xml:space="preserve">Testing the company's account against outside evidence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1500"/>
        <w:gridCol w:w="4900"/>
      </w:tblGrid>
      <w:tr>
        <w:trPr>
          <w:tblHeader/>
        </w:trPr>
        <w:tc>
          <w:tcPr>
            <w:tcW w:type="dxa" w:w="26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Company's claim</w:t>
            </w:r>
          </w:p>
        </w:tc>
        <w:tc>
          <w:tcPr>
            <w:tcW w:type="dxa" w:w="15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Verdict</w:t>
            </w:r>
          </w:p>
        </w:tc>
        <w:tc>
          <w:tcPr>
            <w:tcW w:type="dxa" w:w="49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Basis</w:t>
            </w:r>
          </w:p>
        </w:tc>
      </w:tr>
      <w:tr>
        <w:trPr>
          <w:tblHeader w:val="false"/>
        </w:trPr>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Scale advantages in Chinese commerce</w:t>
            </w:r>
          </w:p>
        </w:tc>
        <w:tc>
          <w:tcPr>
            <w:tcW w:type="dxa" w:w="1500"/>
            <w:tcMar>
              <w:top w:type="dxa" w:w="80"/>
              <w:left w:type="dxa" w:w="120"/>
              <w:bottom w:type="dxa" w:w="80"/>
              <w:right w:type="dxa" w:w="120"/>
            </w:tcMar>
          </w:tcPr>
          <w:p>
            <w:pPr>
              <w:spacing w:after="0" w:line="260"/>
              <w:jc w:val="left"/>
            </w:pPr>
            <w:r>
              <w:rPr>
                <w:rFonts w:ascii="Arial" w:cs="Arial" w:eastAsia="Arial" w:hAnsi="Arial"/>
                <w:sz w:val="20"/>
                <w:szCs w:val="20"/>
              </w:rPr>
              <w:t xml:space="preserve">Partly supported</w:t>
            </w:r>
          </w:p>
        </w:tc>
        <w:tc>
          <w:tcPr>
            <w:tcW w:type="dxa" w:w="4900"/>
            <w:tcMar>
              <w:top w:type="dxa" w:w="80"/>
              <w:left w:type="dxa" w:w="120"/>
              <w:bottom w:type="dxa" w:w="80"/>
              <w:right w:type="dxa" w:w="120"/>
            </w:tcMar>
          </w:tcPr>
          <w:p>
            <w:pPr>
              <w:spacing w:after="0" w:line="260"/>
              <w:jc w:val="left"/>
            </w:pPr>
            <w:r>
              <w:rPr>
                <w:rFonts w:ascii="Arial" w:cs="Arial" w:eastAsia="Arial" w:hAnsi="Arial"/>
                <w:sz w:val="20"/>
                <w:szCs w:val="20"/>
              </w:rPr>
              <w:t xml:space="preserve">Largest absolute profit pool in the sector, and customer management revenue grew right through the subsidy war. But PDD earns a higher operating margin with far fewer assets, and no independent source can verify a market share.</w:t>
            </w:r>
          </w:p>
        </w:tc>
      </w:tr>
      <w:tr>
        <w:trPr>
          <w:tblHeader w:val="false"/>
        </w:trPr>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Leading position in Chinese public cloud</w:t>
            </w:r>
          </w:p>
        </w:tc>
        <w:tc>
          <w:tcPr>
            <w:tcW w:type="dxa" w:w="1500"/>
            <w:tcMar>
              <w:top w:type="dxa" w:w="80"/>
              <w:left w:type="dxa" w:w="120"/>
              <w:bottom w:type="dxa" w:w="80"/>
              <w:right w:type="dxa" w:w="120"/>
            </w:tcMar>
          </w:tcPr>
          <w:p>
            <w:pPr>
              <w:spacing w:after="0" w:line="260"/>
              <w:jc w:val="left"/>
            </w:pPr>
            <w:r>
              <w:rPr>
                <w:rFonts w:ascii="Arial" w:cs="Arial" w:eastAsia="Arial" w:hAnsi="Arial"/>
                <w:sz w:val="20"/>
                <w:szCs w:val="20"/>
              </w:rPr>
              <w:t xml:space="preserve">Supported</w:t>
            </w:r>
          </w:p>
        </w:tc>
        <w:tc>
          <w:tcPr>
            <w:tcW w:type="dxa" w:w="4900"/>
            <w:tcMar>
              <w:top w:type="dxa" w:w="80"/>
              <w:left w:type="dxa" w:w="120"/>
              <w:bottom w:type="dxa" w:w="80"/>
              <w:right w:type="dxa" w:w="120"/>
            </w:tcMar>
          </w:tcPr>
          <w:p>
            <w:pPr>
              <w:spacing w:after="0" w:line="260"/>
              <w:jc w:val="left"/>
            </w:pPr>
            <w:r>
              <w:rPr>
                <w:rFonts w:ascii="Arial" w:cs="Arial" w:eastAsia="Arial" w:hAnsi="Arial"/>
                <w:sz w:val="20"/>
                <w:szCs w:val="20"/>
              </w:rPr>
              <w:t xml:space="preserve">Largest single vendor on both independent trackers, by roughly two to one, and gaining share. Qualification: IDC ranks Baidu first in the AI-applications sub-market.</w:t>
            </w:r>
          </w:p>
        </w:tc>
      </w:tr>
      <w:tr>
        <w:trPr>
          <w:tblHeader w:val="false"/>
        </w:trPr>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Leading position in open-weight AI models</w:t>
            </w:r>
          </w:p>
        </w:tc>
        <w:tc>
          <w:tcPr>
            <w:tcW w:type="dxa" w:w="1500"/>
            <w:tcMar>
              <w:top w:type="dxa" w:w="80"/>
              <w:left w:type="dxa" w:w="120"/>
              <w:bottom w:type="dxa" w:w="80"/>
              <w:right w:type="dxa" w:w="120"/>
            </w:tcMar>
          </w:tcPr>
          <w:p>
            <w:pPr>
              <w:spacing w:after="0" w:line="260"/>
              <w:jc w:val="left"/>
            </w:pPr>
            <w:r>
              <w:rPr>
                <w:rFonts w:ascii="Arial" w:cs="Arial" w:eastAsia="Arial" w:hAnsi="Arial"/>
                <w:sz w:val="20"/>
                <w:szCs w:val="20"/>
              </w:rPr>
              <w:t xml:space="preserve">Supported</w:t>
            </w:r>
          </w:p>
        </w:tc>
        <w:tc>
          <w:tcPr>
            <w:tcW w:type="dxa" w:w="4900"/>
            <w:tcMar>
              <w:top w:type="dxa" w:w="80"/>
              <w:left w:type="dxa" w:w="120"/>
              <w:bottom w:type="dxa" w:w="80"/>
              <w:right w:type="dxa" w:w="120"/>
            </w:tcMar>
          </w:tcPr>
          <w:p>
            <w:pPr>
              <w:spacing w:after="0" w:line="260"/>
              <w:jc w:val="left"/>
            </w:pPr>
            <w:r>
              <w:rPr>
                <w:rFonts w:ascii="Arial" w:cs="Arial" w:eastAsia="Arial" w:hAnsi="Arial"/>
                <w:sz w:val="20"/>
                <w:szCs w:val="20"/>
              </w:rPr>
              <w:t xml:space="preserve">Independent academic tracking corroborates the ranking. Alibaba's own claim of 3 billion cumulative downloads (August 2026) rests on a broader base and is unverified.</w:t>
            </w:r>
          </w:p>
        </w:tc>
      </w:tr>
      <w:tr>
        <w:trPr>
          <w:tblHeader w:val="false"/>
        </w:trPr>
        <w:tc>
          <w:tcPr>
            <w:tcW w:type="dxa" w:w="2600"/>
            <w:tcMar>
              <w:top w:type="dxa" w:w="80"/>
              <w:left w:type="dxa" w:w="120"/>
              <w:bottom w:type="dxa" w:w="80"/>
              <w:right w:type="dxa" w:w="120"/>
            </w:tcMar>
          </w:tcPr>
          <w:p>
            <w:pPr>
              <w:spacing w:after="0" w:line="260"/>
              <w:jc w:val="left"/>
            </w:pPr>
            <w:r>
              <w:rPr>
                <w:rFonts w:ascii="Arial" w:cs="Arial" w:eastAsia="Arial" w:hAnsi="Arial"/>
                <w:sz w:val="20"/>
                <w:szCs w:val="20"/>
              </w:rPr>
              <w:t xml:space="preserve">Quick commerce strengthens the core platform</w:t>
            </w:r>
          </w:p>
        </w:tc>
        <w:tc>
          <w:tcPr>
            <w:tcW w:type="dxa" w:w="1500"/>
            <w:tcMar>
              <w:top w:type="dxa" w:w="80"/>
              <w:left w:type="dxa" w:w="120"/>
              <w:bottom w:type="dxa" w:w="80"/>
              <w:right w:type="dxa" w:w="120"/>
            </w:tcMar>
          </w:tcPr>
          <w:p>
            <w:pPr>
              <w:spacing w:after="0" w:line="260"/>
              <w:jc w:val="left"/>
            </w:pPr>
            <w:r>
              <w:rPr>
                <w:rFonts w:ascii="Arial" w:cs="Arial" w:eastAsia="Arial" w:hAnsi="Arial"/>
                <w:sz w:val="20"/>
                <w:szCs w:val="20"/>
              </w:rPr>
              <w:t xml:space="preserve">Unverified</w:t>
            </w:r>
          </w:p>
        </w:tc>
        <w:tc>
          <w:tcPr>
            <w:tcW w:type="dxa" w:w="4900"/>
            <w:tcMar>
              <w:top w:type="dxa" w:w="80"/>
              <w:left w:type="dxa" w:w="120"/>
              <w:bottom w:type="dxa" w:w="80"/>
              <w:right w:type="dxa" w:w="120"/>
            </w:tcMar>
          </w:tcPr>
          <w:p>
            <w:pPr>
              <w:spacing w:after="0" w:line="260"/>
              <w:jc w:val="left"/>
            </w:pPr>
            <w:r>
              <w:rPr>
                <w:rFonts w:ascii="Arial" w:cs="Arial" w:eastAsia="Arial" w:hAnsi="Arial"/>
                <w:sz w:val="20"/>
                <w:szCs w:val="20"/>
              </w:rPr>
              <w:t xml:space="preserve">Alibaba publishes no order volumes, no cohort frequency data and no standalone quick-commerce profit. The mechanism cannot be tested from outside, and the regulator has drafted rules to prohibit the method.</w:t>
            </w:r>
          </w:p>
        </w:tc>
      </w:tr>
    </w:tbl>
    <w:p>
      <w:pPr>
        <w:spacing w:after="200" w:before="100" w:line="260"/>
      </w:pPr>
      <w:r>
        <w:rPr>
          <w:rFonts w:ascii="Arial" w:cs="Arial" w:eastAsia="Arial" w:hAnsi="Arial"/>
          <w:i/>
          <w:iCs/>
          <w:color w:val="595959"/>
          <w:sz w:val="18"/>
          <w:szCs w:val="18"/>
        </w:rPr>
        <w:t xml:space="preserve">Sources as cited in the surrounding text. Verdicts are this document's assessment of outside evidence against the FY2026 20-F and the June Quarter 2026 results.</w:t>
      </w:r>
    </w:p>
    <w:p>
      <w:pPr>
        <w:pStyle w:val="Heading2"/>
        <w:spacing w:after="180" w:before="180"/>
      </w:pPr>
      <w:r>
        <w:rPr>
          <w:rFonts w:ascii="Arial" w:cs="Arial" w:eastAsia="Arial" w:hAnsi="Arial"/>
          <w:b/>
          <w:bCs/>
          <w:color w:val="1F3864"/>
          <w:sz w:val="28"/>
          <w:szCs w:val="28"/>
        </w:rPr>
        <w:t xml:space="preserve">What kind of company wins here</w:t>
      </w:r>
    </w:p>
    <w:p>
      <w:pPr>
        <w:spacing w:after="160" w:line="276"/>
      </w:pPr>
      <w:r>
        <w:rPr>
          <w:rFonts w:ascii="Arial" w:cs="Arial" w:eastAsia="Arial" w:hAnsi="Arial"/>
          <w:sz w:val="22"/>
          <w:szCs w:val="22"/>
        </w:rPr>
        <w:t xml:space="preserve">In Chinese marketplaces the winner is the operator with the lowest fixed cost, because in a market growing at one percent only that operator can decline to fight. Alibaba's marketplace half has been exactly that business for a decade. It has now voluntarily attached a rider fleet, a grocery chain and a thirty-minute delivery promise to it.</w:t>
      </w:r>
    </w:p>
    <w:p>
      <w:pPr>
        <w:spacing w:after="160" w:line="276"/>
      </w:pPr>
      <w:r>
        <w:rPr>
          <w:rFonts w:ascii="Arial" w:cs="Arial" w:eastAsia="Arial" w:hAnsi="Arial"/>
          <w:sz w:val="22"/>
          <w:szCs w:val="22"/>
        </w:rPr>
        <w:t xml:space="preserve">In cloud the winner is the operator with the largest installed base to amortise capital across, a model franchise that pulls inference onto its own hardware for free, and captive first-party demand to fill the fleet. Chip design does not win — Cambricon, the only listed Chinese pure-play, reported roughly 20% yields on SMIC's 7nm process and inventory equal to 45% of total assets. Model labs alone do not win — DeepSeek fell from 75.6% of OpenRouter inference tokens in June 2025 to 31.1% in January 2026 with no infrastructure to defend the position. Alibaba is unambiguously that kind of company in cloud. It is half that kind in commerce, and it has chosen to become less so.</w:t>
      </w:r>
    </w:p>
    <w:p>
      <w:pPr>
        <w:pStyle w:val="Heading1"/>
        <w:pageBreakBefore/>
        <w:spacing w:after="200" w:before="360"/>
      </w:pPr>
      <w:r>
        <w:rPr>
          <w:rFonts w:ascii="Arial" w:cs="Arial" w:eastAsia="Arial" w:hAnsi="Arial"/>
          <w:b/>
          <w:bCs/>
          <w:color w:val="1F3864"/>
          <w:sz w:val="32"/>
          <w:szCs w:val="32"/>
        </w:rPr>
        <w:t xml:space="preserve">4. Growth Engine</w:t>
      </w:r>
    </w:p>
    <w:p>
      <w:pPr>
        <w:spacing w:after="160" w:line="276"/>
      </w:pPr>
      <w:r>
        <w:rPr>
          <w:rFonts w:ascii="Arial" w:cs="Arial" w:eastAsia="Arial" w:hAnsi="Arial"/>
          <w:sz w:val="22"/>
          <w:szCs w:val="22"/>
        </w:rPr>
        <w:t xml:space="preserve">Reported revenue grew 3% in FY2026, from RMB996,347 million to RMB1,023,670 million. That number describes a different company from the one that actually operated. Excluding the disposed Sun Art and Intime businesses, revenue grew 11% on a like-for-like basis (FY2026 20-F). The eight-point gap is the arithmetic of selling two large, low-margin retail chains, and it implies roughly RMB74 billion of FY2025 revenue that simply left the group (inferred — Alibaba does not disclose the disposed businesses' revenue directly).</w:t>
      </w:r>
    </w:p>
    <w:p>
      <w:pPr>
        <w:spacing w:after="160" w:line="276"/>
      </w:pPr>
      <w:r>
        <w:rPr>
          <w:rFonts w:ascii="Arial" w:cs="Arial" w:eastAsia="Arial" w:hAnsi="Arial"/>
          <w:sz w:val="22"/>
          <w:szCs w:val="22"/>
        </w:rPr>
        <w:t xml:space="preserve">The mirror image is instructive. In FY2021 reported revenue grew 41% and the company disclosed that it would have grown 32% without the consolidation of Sun Art, which contributed RMB42.9 billion (FY2021 20-F). The same asset added nine points of reported growth on the way in and, with Intime, removed about eight on the way out. Acquisitions are no longer a factor either way: total consideration for all business combinations was RMB2,250 million in FY2026, RMB5,014 million in FY2025 and RMB2,115 million in FY2024, each described by the company as immaterial. Growth from here is organic or it does not happen.</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20" w:line="276"/>
      </w:pPr>
      <w:r>
        <w:rPr>
          <w:rFonts w:ascii="Arial" w:cs="Arial" w:eastAsia="Arial" w:hAnsi="Arial"/>
          <w:b/>
          <w:bCs/>
          <w:sz w:val="22"/>
          <w:szCs w:val="22"/>
        </w:rPr>
        <w:t xml:space="preserve">Cloud and AI compute — structural. </w:t>
      </w:r>
      <w:r>
        <w:rPr>
          <w:rFonts w:ascii="Arial" w:cs="Arial" w:eastAsia="Arial" w:hAnsi="Arial"/>
          <w:sz w:val="22"/>
          <w:szCs w:val="22"/>
        </w:rPr>
        <w:t xml:space="preserve">Segment revenue grew 34% in FY2026 to RMB158,132 million and accelerated to 45% in the June 2026 quarter, with segment adjusted EBITA up 133% and the margin reaching 12% (FY2026 20-F; June Quarter 2026 results, 20 August 2026). Margin expanding while growth accelerates is the signature of capacity scarcity rather than share bought with price. This is the only driver in the list that improves the group's margin as it grows.</w:t>
      </w:r>
    </w:p>
    <w:p>
      <w:pPr>
        <w:pStyle w:val="ListParagraph"/>
        <w:numPr>
          <w:ilvl w:val="0"/>
          <w:numId w:val="2"/>
        </w:numPr>
        <w:spacing w:after="120" w:line="276"/>
      </w:pPr>
      <w:r>
        <w:rPr>
          <w:rFonts w:ascii="Arial" w:cs="Arial" w:eastAsia="Arial" w:hAnsi="Arial"/>
          <w:b/>
          <w:bCs/>
          <w:sz w:val="22"/>
          <w:szCs w:val="22"/>
        </w:rPr>
        <w:t xml:space="preserve">Quick commerce — management-driven, and bought. </w:t>
      </w:r>
      <w:r>
        <w:rPr>
          <w:rFonts w:ascii="Arial" w:cs="Arial" w:eastAsia="Arial" w:hAnsi="Arial"/>
          <w:sz w:val="22"/>
          <w:szCs w:val="22"/>
        </w:rPr>
        <w:t xml:space="preserve">Revenue grew 47% in FY2026 to RMB78,520 million and 45% in the June 2026 quarter to RMB53,295 million. It is reported net of subsidies, which are treated as contra-revenue, so the headline understates gross volume and the subsidy quantum is never disclosed. The revenue is real; whether it is profitable at any scale is the unresolved question of the investment case.</w:t>
      </w:r>
    </w:p>
    <w:p>
      <w:pPr>
        <w:pStyle w:val="ListParagraph"/>
        <w:numPr>
          <w:ilvl w:val="0"/>
          <w:numId w:val="2"/>
        </w:numPr>
        <w:spacing w:after="120" w:line="276"/>
      </w:pPr>
      <w:r>
        <w:rPr>
          <w:rFonts w:ascii="Arial" w:cs="Arial" w:eastAsia="Arial" w:hAnsi="Arial"/>
          <w:b/>
          <w:bCs/>
          <w:sz w:val="22"/>
          <w:szCs w:val="22"/>
        </w:rPr>
        <w:t xml:space="preserve">Take rate on the core marketplace — management-driven. </w:t>
      </w:r>
      <w:r>
        <w:rPr>
          <w:rFonts w:ascii="Arial" w:cs="Arial" w:eastAsia="Arial" w:hAnsi="Arial"/>
          <w:sz w:val="22"/>
          <w:szCs w:val="22"/>
        </w:rPr>
        <w:t xml:space="preserve">Customer management revenue rose 5% in FY2026 "driven by the improvement of take rate" (FY2026 20-F). No take rate and no GMV is disclosed to test the claim. The GMV-based software service fee introduced in September 2024 is the most plausible mechanism (inferred).</w:t>
      </w:r>
    </w:p>
    <w:p>
      <w:pPr>
        <w:pStyle w:val="ListParagraph"/>
        <w:numPr>
          <w:ilvl w:val="0"/>
          <w:numId w:val="2"/>
        </w:numPr>
        <w:spacing w:after="120" w:line="276"/>
      </w:pPr>
      <w:r>
        <w:rPr>
          <w:rFonts w:ascii="Arial" w:cs="Arial" w:eastAsia="Arial" w:hAnsi="Arial"/>
          <w:b/>
          <w:bCs/>
          <w:sz w:val="22"/>
          <w:szCs w:val="22"/>
        </w:rPr>
        <w:t xml:space="preserve">International commerce — structural, and newly disciplined. </w:t>
      </w:r>
      <w:r>
        <w:rPr>
          <w:rFonts w:ascii="Arial" w:cs="Arial" w:eastAsia="Arial" w:hAnsi="Arial"/>
          <w:sz w:val="22"/>
          <w:szCs w:val="22"/>
        </w:rPr>
        <w:t xml:space="preserve">AIDC revenue grew 9% to RMB144,170 million while its adjusted EBITA loss narrowed from RMB15,137 million to RMB2,051 million, which the company attributes to AliExpress operating efficiency. The wider context is that the United States ended the $800 de minimis exemption for China and Hong Kong in May 2025 and suspended it globally in August 2025, which removed the parcel arbitrage underpinning the whole cross-border cohort and pushed every participant from loss-making growth toward profitability at once.</w:t>
      </w:r>
    </w:p>
    <w:p>
      <w:pPr>
        <w:pStyle w:val="ListParagraph"/>
        <w:numPr>
          <w:ilvl w:val="0"/>
          <w:numId w:val="2"/>
        </w:numPr>
        <w:spacing w:after="120" w:line="276"/>
      </w:pPr>
      <w:r>
        <w:rPr>
          <w:rFonts w:ascii="Arial" w:cs="Arial" w:eastAsia="Arial" w:hAnsi="Arial"/>
          <w:b/>
          <w:bCs/>
          <w:sz w:val="22"/>
          <w:szCs w:val="22"/>
        </w:rPr>
        <w:t xml:space="preserve">Consumer AI — currently a cost, not a driver. </w:t>
      </w:r>
      <w:r>
        <w:rPr>
          <w:rFonts w:ascii="Arial" w:cs="Arial" w:eastAsia="Arial" w:hAnsi="Arial"/>
          <w:sz w:val="22"/>
          <w:szCs w:val="22"/>
        </w:rPr>
        <w:t xml:space="preserve">The Qwen application reached over 295 million monthly active users by March 2026 and Alibaba states 250 million users have had a first AI-driven shopping experience through it. On the June 2026 quarter's new segmentation the AI Labs and Applications segment produced RMB3,338 million of revenue against an adjusted EBITA loss of RMB13,861 million. It is a user-acquisition programme that has not yet become a revenue line.</w:t>
      </w:r>
    </w:p>
    <w:p>
      <w:pPr>
        <w:pStyle w:val="Heading2"/>
        <w:spacing w:after="180" w:before="180"/>
      </w:pPr>
      <w:r>
        <w:rPr>
          <w:rFonts w:ascii="Arial" w:cs="Arial" w:eastAsia="Arial" w:hAnsi="Arial"/>
          <w:b/>
          <w:bCs/>
          <w:color w:val="1F3864"/>
          <w:sz w:val="28"/>
          <w:szCs w:val="28"/>
        </w:rPr>
        <w:t xml:space="preserve">What is shrinking</w:t>
      </w:r>
    </w:p>
    <w:p>
      <w:pPr>
        <w:spacing w:after="160" w:line="276"/>
      </w:pPr>
      <w:r>
        <w:rPr>
          <w:rFonts w:ascii="Arial" w:cs="Arial" w:eastAsia="Arial" w:hAnsi="Arial"/>
          <w:sz w:val="22"/>
          <w:szCs w:val="22"/>
        </w:rPr>
        <w:t xml:space="preserve">Two things. The "All others" bucket fell 25% to RMB254,367 million in FY2026 on the disposals and a decline in Cainiao revenue. And in the June 2026 quarter, under a segmentation adopted that quarter, China E-commerce revenue fell 8% year-on-year to RMB110,900 million with customer management revenue down 7% — which management attributes largely to reclassification into the separate China Quick Commerce line and cites as up 1% like-for-like. An investor cannot independently separate reclassification from decline, because the underlying volume measure is not published.</w:t>
      </w:r>
    </w:p>
    <w:p>
      <w:pPr>
        <w:pStyle w:val="Heading1"/>
        <w:pageBreakBefore/>
        <w:spacing w:after="200" w:before="360"/>
      </w:pPr>
      <w:r>
        <w:rPr>
          <w:rFonts w:ascii="Arial" w:cs="Arial" w:eastAsia="Arial" w:hAnsi="Arial"/>
          <w:b/>
          <w:bCs/>
          <w:color w:val="1F3864"/>
          <w:sz w:val="32"/>
          <w:szCs w:val="32"/>
        </w:rPr>
        <w:t xml:space="preserve">5. Margin, Cash and Capital Allocation</w:t>
      </w:r>
    </w:p>
    <w:p>
      <w:pPr>
        <w:pStyle w:val="Heading2"/>
        <w:spacing w:after="180" w:before="180"/>
      </w:pPr>
      <w:r>
        <w:rPr>
          <w:rFonts w:ascii="Arial" w:cs="Arial" w:eastAsia="Arial" w:hAnsi="Arial"/>
          <w:b/>
          <w:bCs/>
          <w:color w:val="1F3864"/>
          <w:sz w:val="28"/>
          <w:szCs w:val="28"/>
        </w:rPr>
        <w:t xml:space="preserve">Where the margin went</w:t>
      </w:r>
    </w:p>
    <w:p>
      <w:pPr>
        <w:spacing w:after="160" w:line="276"/>
      </w:pPr>
      <w:r>
        <w:rPr>
          <w:rFonts w:ascii="Arial" w:cs="Arial" w:eastAsia="Arial" w:hAnsi="Arial"/>
          <w:sz w:val="22"/>
          <w:szCs w:val="22"/>
        </w:rPr>
        <w:t xml:space="preserve">Group adjusted EBITA fell 56% in FY2026, from RMB173,065 million to RMB76,416 million, and income from operations fell 64% to RMB50,150 million. One line explains it. Sales and marketing expense rose 70%, from RMB144,021 million to RMB245,023 million — from 14% of revenue to 24% — "primarily attributable to the investment in user experiences of Alibaba China E-commerce Group and user acquisition of Qwen app" (FY2026 20-F). That single increase of RMB101 billion is larger than the entire RMB96.6 billion fall in group adjusted EBITA. Cost of revenue was essentially flat at 60% of revenue; general and administrative expense actually fell 25%, helped by the absence of the prior year's provision for the US$433.5 million securities class action settlement.</w:t>
      </w:r>
    </w:p>
    <w:p>
      <w:pPr>
        <w:spacing w:after="160" w:line="276"/>
      </w:pPr>
      <w:r>
        <w:rPr>
          <w:rFonts w:ascii="Arial" w:cs="Arial" w:eastAsia="Arial" w:hAnsi="Arial"/>
          <w:sz w:val="22"/>
          <w:szCs w:val="22"/>
        </w:rPr>
        <w:t xml:space="preserve">Reported net income tells a much gentler story than the operations do, and the gap is not operational. Net income fell 19% to RMB102,127 million while non-GAAP net income fell 62% to RMB60,658 million. The difference is investment gains: interest and investment income swung to a positive RMB87,512 million from RMB20,759 million, including RMB74,416 million of gains on the disposal, deemed disposal and revaluation of investments. Marking a portfolio upward is not the same event as earning money from customers, and for this fiscal year the non-GAAP measure is the cleaner read of the operating business.</w:t>
      </w:r>
    </w:p>
    <w:p>
      <w:pPr>
        <w:pStyle w:val="Heading2"/>
        <w:spacing w:after="180" w:before="180"/>
      </w:pPr>
      <w:r>
        <w:rPr>
          <w:rFonts w:ascii="Arial" w:cs="Arial" w:eastAsia="Arial" w:hAnsi="Arial"/>
          <w:b/>
          <w:bCs/>
          <w:color w:val="1F3864"/>
          <w:sz w:val="28"/>
          <w:szCs w:val="28"/>
        </w:rPr>
        <w:t xml:space="preserve">The financial spine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500"/>
        <w:gridCol w:w="1500"/>
        <w:gridCol w:w="1550"/>
        <w:gridCol w:w="1550"/>
      </w:tblGrid>
      <w:tr>
        <w:trPr>
          <w:tblHeader/>
        </w:trPr>
        <w:tc>
          <w:tcPr>
            <w:tcW w:type="dxa" w:w="29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RMB millions unless stated</w:t>
            </w:r>
          </w:p>
        </w:tc>
        <w:tc>
          <w:tcPr>
            <w:tcW w:type="dxa" w:w="15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FY2017</w:t>
            </w:r>
          </w:p>
        </w:tc>
        <w:tc>
          <w:tcPr>
            <w:tcW w:type="dxa" w:w="15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FY2021</w:t>
            </w:r>
          </w:p>
        </w:tc>
        <w:tc>
          <w:tcPr>
            <w:tcW w:type="dxa" w:w="155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FY2025</w:t>
            </w:r>
          </w:p>
        </w:tc>
        <w:tc>
          <w:tcPr>
            <w:tcW w:type="dxa" w:w="155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FY2026</w:t>
            </w:r>
          </w:p>
        </w:tc>
      </w:tr>
      <w:tr>
        <w:trPr>
          <w:tblHeader w:val="false"/>
        </w:trP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Revenue</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158,273</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717,289</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996,347</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1,023,670</w:t>
            </w:r>
          </w:p>
        </w:tc>
      </w:tr>
      <w:tr>
        <w:trPr>
          <w:tblHeader w:val="false"/>
        </w:trP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Adjusted EBITA</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69,172</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170,453</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173,065</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76,416</w:t>
            </w:r>
          </w:p>
        </w:tc>
      </w:tr>
      <w:tr>
        <w:trPr>
          <w:tblHeader w:val="false"/>
        </w:trP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Adjusted EBITA margin</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43.7%</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23.8%</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17.4%</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7.5%</w:t>
            </w:r>
          </w:p>
        </w:tc>
      </w:tr>
      <w:tr>
        <w:trPr>
          <w:tblHeader w:val="false"/>
        </w:trP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Net income attributable to ordinary shareholders</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43,675</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150,308</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129,470</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105,904</w:t>
            </w:r>
          </w:p>
        </w:tc>
      </w:tr>
      <w:tr>
        <w:trPr>
          <w:tblHeader w:val="false"/>
        </w:trP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Free cash flow (company definition)</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68,790</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172,662</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73,870</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(46,609)</w:t>
            </w:r>
          </w:p>
        </w:tc>
      </w:tr>
      <w:tr>
        <w:trPr>
          <w:tblHeader w:val="false"/>
        </w:trP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Capital expenditure</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17,546</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41,450</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85,972</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126,063</w:t>
            </w:r>
          </w:p>
        </w:tc>
      </w:tr>
    </w:tbl>
    <w:p>
      <w:pPr>
        <w:spacing w:after="200" w:before="100" w:line="260"/>
      </w:pPr>
      <w:r>
        <w:rPr>
          <w:rFonts w:ascii="Arial" w:cs="Arial" w:eastAsia="Arial" w:hAnsi="Arial"/>
          <w:i/>
          <w:iCs/>
          <w:color w:val="595959"/>
          <w:sz w:val="18"/>
          <w:szCs w:val="18"/>
        </w:rPr>
        <w:t xml:space="preserve">Sources: FY2017, FY2021, FY2023, FY2025 and FY2026 20-Fs. Margins computed. Comparability across these columns is broken in four specific ways, each disclosed in the filings: reportable segments went from four (FY2017 and FY2021) to seven (from December 2021) to six (FY2024) to four (FY2026), with a further change to a different four-segment structure in the June 2026 quarter; the ADS ratio changed on the 8-for-1 share subdivision effective 30 July 2019, so FY2017 per-share figures are not comparable to later years; the definition of adjusted EBITA has been widened three times to add back new categories, including the FY2021 anti-monopoly fine of RMB18,228 million; and the free cash flow definition changed on adoption of ASU 2019-02 on 1 April 2020. A trend line drawn straight across those columns is not a trend.</w:t>
      </w:r>
    </w:p>
    <w:p>
      <w:pPr>
        <w:pStyle w:val="Heading2"/>
        <w:spacing w:after="180" w:before="180"/>
      </w:pPr>
      <w:r>
        <w:rPr>
          <w:rFonts w:ascii="Arial" w:cs="Arial" w:eastAsia="Arial" w:hAnsi="Arial"/>
          <w:b/>
          <w:bCs/>
          <w:color w:val="1F3864"/>
          <w:sz w:val="28"/>
          <w:szCs w:val="28"/>
        </w:rPr>
        <w:t xml:space="preserve">Cash conversion inverted</w:t>
      </w:r>
    </w:p>
    <w:p>
      <w:pPr>
        <w:spacing w:after="160" w:line="276"/>
      </w:pPr>
      <w:r>
        <w:rPr>
          <w:rFonts w:ascii="Arial" w:cs="Arial" w:eastAsia="Arial" w:hAnsi="Arial"/>
          <w:sz w:val="22"/>
          <w:szCs w:val="22"/>
        </w:rPr>
        <w:t xml:space="preserve">Operating cash flow fell 53% in FY2026, from RMB163,509 million to RMB76,213 million, which the company attributes to "the investment in quick commerce and increase in our cloud infrastructure expenditure." Free cash flow, on the company's own definition, went from RMB156,210 million in FY2024 to RMB73,870 million in FY2025 to negative RMB46,609 million in FY2026 — the first negative year in the company's public history.</w:t>
      </w:r>
    </w:p>
    <w:p>
      <w:pPr>
        <w:spacing w:after="160" w:line="276"/>
      </w:pPr>
      <w:r>
        <w:rPr>
          <w:rFonts w:ascii="Arial" w:cs="Arial" w:eastAsia="Arial" w:hAnsi="Arial"/>
          <w:sz w:val="22"/>
          <w:szCs w:val="22"/>
        </w:rPr>
        <w:t xml:space="preserve">Two mechanisms drive the gap between reported profit and cash. RMB66,089 million of FY2026 net income was a non-cash mark-up on equity securities and other investments, so it never became cash. And prepayments, receivables and other assets absorbed RMB67,931 million, a build consistent with prepaid data-centre and chip capacity, though the filing does not disaggregate it (composition NOT FOUND). Working against those, deferred revenue and customer advances — merchants prepaying for advertising — grew to RMB77,415 million and remain a genuine source of negative working capital.</w:t>
      </w:r>
    </w:p>
    <w:p>
      <w:pPr>
        <w:spacing w:after="160" w:line="276"/>
      </w:pPr>
      <w:r>
        <w:rPr>
          <w:rFonts w:ascii="Arial" w:cs="Arial" w:eastAsia="Arial" w:hAnsi="Arial"/>
          <w:sz w:val="22"/>
          <w:szCs w:val="22"/>
        </w:rPr>
        <w:t xml:space="preserve">Capital expenditure was RMB126,063 million in FY2026, 12.3% of revenue, against RMB32,087 million and 3.4% two years earlier, and RMB54,136 million of further capital commitments were contracted but not provided for at year end. Gross computer equipment and software on the balance sheet rose 52% in one year, to RMB238,760 million. The depreciation policy for that equipment is unchanged at three to five years — the company has not extended useful lives to flatter the profit and loss account, which means the full bill arrives on schedule.</w:t>
      </w:r>
    </w:p>
    <w:p>
      <w:pPr>
        <w:pStyle w:val="Heading2"/>
        <w:spacing w:after="180" w:before="180"/>
      </w:pPr>
      <w:r>
        <w:rPr>
          <w:rFonts w:ascii="Arial" w:cs="Arial" w:eastAsia="Arial" w:hAnsi="Arial"/>
          <w:b/>
          <w:bCs/>
          <w:color w:val="1F3864"/>
          <w:sz w:val="28"/>
          <w:szCs w:val="28"/>
        </w:rPr>
        <w:t xml:space="preserve">Where the cash went, and what changed</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400"/>
        <w:gridCol w:w="2200"/>
        <w:gridCol w:w="3400"/>
      </w:tblGrid>
      <w:tr>
        <w:trPr>
          <w:tblHeader/>
        </w:trPr>
        <w:tc>
          <w:tcPr>
            <w:tcW w:type="dxa" w:w="34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Use of cash, FY2021–FY2026</w:t>
            </w:r>
          </w:p>
        </w:tc>
        <w:tc>
          <w:tcPr>
            <w:tcW w:type="dxa" w:w="2200"/>
            <w:shd w:fill="E8EDF5" w:color="auto" w:val="clear"/>
            <w:tcMar>
              <w:top w:type="dxa" w:w="80"/>
              <w:left w:type="dxa" w:w="120"/>
              <w:bottom w:type="dxa" w:w="80"/>
              <w:right w:type="dxa" w:w="120"/>
            </w:tcMar>
          </w:tcPr>
          <w:p>
            <w:pPr>
              <w:spacing w:after="0" w:line="260"/>
              <w:jc w:val="right"/>
            </w:pPr>
            <w:r>
              <w:rPr>
                <w:rFonts w:ascii="Arial" w:cs="Arial" w:eastAsia="Arial" w:hAnsi="Arial"/>
                <w:b/>
                <w:bCs/>
                <w:sz w:val="20"/>
                <w:szCs w:val="20"/>
              </w:rPr>
              <w:t xml:space="preserve">RMB millions</w:t>
            </w:r>
          </w:p>
        </w:tc>
        <w:tc>
          <w:tcPr>
            <w:tcW w:type="dxa" w:w="34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Behaviour</w:t>
            </w:r>
          </w:p>
        </w:tc>
      </w:tr>
      <w:tr>
        <w:trPr>
          <w:tblHeader w:val="false"/>
        </w:trP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Capital expenditure</w:t>
            </w:r>
          </w:p>
        </w:tc>
        <w:tc>
          <w:tcPr>
            <w:tcW w:type="dxa" w:w="2200"/>
            <w:tcMar>
              <w:top w:type="dxa" w:w="80"/>
              <w:left w:type="dxa" w:w="120"/>
              <w:bottom w:type="dxa" w:w="80"/>
              <w:right w:type="dxa" w:w="120"/>
            </w:tcMar>
          </w:tcPr>
          <w:p>
            <w:pPr>
              <w:spacing w:after="0" w:line="260"/>
              <w:jc w:val="right"/>
            </w:pPr>
            <w:r>
              <w:rPr>
                <w:rFonts w:ascii="Arial" w:cs="Arial" w:eastAsia="Arial" w:hAnsi="Arial"/>
                <w:sz w:val="20"/>
                <w:szCs w:val="20"/>
              </w:rPr>
              <w:t xml:space="preserve">373,211</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Flat to falling until FY2024, then RMB212 billion in the last two years alone</w:t>
            </w:r>
          </w:p>
        </w:tc>
      </w:tr>
      <w:tr>
        <w:trPr>
          <w:tblHeader w:val="false"/>
        </w:trP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Share repurchases</w:t>
            </w:r>
          </w:p>
        </w:tc>
        <w:tc>
          <w:tcPr>
            <w:tcW w:type="dxa" w:w="2200"/>
            <w:tcMar>
              <w:top w:type="dxa" w:w="80"/>
              <w:left w:type="dxa" w:w="120"/>
              <w:bottom w:type="dxa" w:w="80"/>
              <w:right w:type="dxa" w:w="120"/>
            </w:tcMar>
          </w:tcPr>
          <w:p>
            <w:pPr>
              <w:spacing w:after="0" w:line="260"/>
              <w:jc w:val="right"/>
            </w:pPr>
            <w:r>
              <w:rPr>
                <w:rFonts w:ascii="Arial" w:cs="Arial" w:eastAsia="Arial" w:hAnsi="Arial"/>
                <w:sz w:val="20"/>
                <w:szCs w:val="20"/>
              </w:rPr>
              <w:t xml:space="preserve">319,789</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RMB311 billion across FY2022–FY2025, then RMB7,638 million in FY2026</w:t>
            </w:r>
          </w:p>
        </w:tc>
      </w:tr>
      <w:tr>
        <w:trPr>
          <w:tblHeader w:val="false"/>
        </w:trP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Investments and securities</w:t>
            </w:r>
          </w:p>
        </w:tc>
        <w:tc>
          <w:tcPr>
            <w:tcW w:type="dxa" w:w="2200"/>
            <w:tcMar>
              <w:top w:type="dxa" w:w="80"/>
              <w:left w:type="dxa" w:w="120"/>
              <w:bottom w:type="dxa" w:w="80"/>
              <w:right w:type="dxa" w:w="120"/>
            </w:tcMar>
          </w:tcPr>
          <w:p>
            <w:pPr>
              <w:spacing w:after="0" w:line="260"/>
              <w:jc w:val="right"/>
            </w:pPr>
            <w:r>
              <w:rPr>
                <w:rFonts w:ascii="Arial" w:cs="Arial" w:eastAsia="Arial" w:hAnsi="Arial"/>
                <w:sz w:val="20"/>
                <w:szCs w:val="20"/>
              </w:rPr>
              <w:t xml:space="preserve">204,045</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Steady, with a step up in FY2026</w:t>
            </w:r>
          </w:p>
        </w:tc>
      </w:tr>
      <w:tr>
        <w:trPr>
          <w:tblHeader w:val="false"/>
        </w:trP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Dividends</w:t>
            </w:r>
          </w:p>
        </w:tc>
        <w:tc>
          <w:tcPr>
            <w:tcW w:type="dxa" w:w="2200"/>
            <w:tcMar>
              <w:top w:type="dxa" w:w="80"/>
              <w:left w:type="dxa" w:w="120"/>
              <w:bottom w:type="dxa" w:w="80"/>
              <w:right w:type="dxa" w:w="120"/>
            </w:tcMar>
          </w:tcPr>
          <w:p>
            <w:pPr>
              <w:spacing w:after="0" w:line="260"/>
              <w:jc w:val="right"/>
            </w:pPr>
            <w:r>
              <w:rPr>
                <w:rFonts w:ascii="Arial" w:cs="Arial" w:eastAsia="Arial" w:hAnsi="Arial"/>
                <w:sz w:val="20"/>
                <w:szCs w:val="20"/>
              </w:rPr>
              <w:t xml:space="preserve">80,755</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First dividend declared for FY2024; special dividends in FY2024 and FY2025, none for FY2026</w:t>
            </w:r>
          </w:p>
        </w:tc>
      </w:tr>
      <w:tr>
        <w:trPr>
          <w:tblHeader w:val="false"/>
        </w:trPr>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Buy-ins of minority interests</w:t>
            </w:r>
          </w:p>
        </w:tc>
        <w:tc>
          <w:tcPr>
            <w:tcW w:type="dxa" w:w="2200"/>
            <w:tcMar>
              <w:top w:type="dxa" w:w="80"/>
              <w:left w:type="dxa" w:w="120"/>
              <w:bottom w:type="dxa" w:w="80"/>
              <w:right w:type="dxa" w:w="120"/>
            </w:tcMar>
          </w:tcPr>
          <w:p>
            <w:pPr>
              <w:spacing w:after="0" w:line="260"/>
              <w:jc w:val="right"/>
            </w:pPr>
            <w:r>
              <w:rPr>
                <w:rFonts w:ascii="Arial" w:cs="Arial" w:eastAsia="Arial" w:hAnsi="Arial"/>
                <w:sz w:val="20"/>
                <w:szCs w:val="20"/>
              </w:rPr>
              <w:t xml:space="preserve">65,673</w:t>
            </w:r>
          </w:p>
        </w:tc>
        <w:tc>
          <w:tcPr>
            <w:tcW w:type="dxa" w:w="3400"/>
            <w:tcMar>
              <w:top w:type="dxa" w:w="80"/>
              <w:left w:type="dxa" w:w="120"/>
              <w:bottom w:type="dxa" w:w="80"/>
              <w:right w:type="dxa" w:w="120"/>
            </w:tcMar>
          </w:tcPr>
          <w:p>
            <w:pPr>
              <w:spacing w:after="0" w:line="260"/>
              <w:jc w:val="left"/>
            </w:pPr>
            <w:r>
              <w:rPr>
                <w:rFonts w:ascii="Arial" w:cs="Arial" w:eastAsia="Arial" w:hAnsi="Arial"/>
                <w:sz w:val="20"/>
                <w:szCs w:val="20"/>
              </w:rPr>
              <w:t xml:space="preserve">Persistent, concentrated in FY2025 and FY2026</w:t>
            </w:r>
          </w:p>
        </w:tc>
      </w:tr>
    </w:tbl>
    <w:p>
      <w:pPr>
        <w:spacing w:after="200" w:before="100" w:line="260"/>
      </w:pPr>
      <w:r>
        <w:rPr>
          <w:rFonts w:ascii="Arial" w:cs="Arial" w:eastAsia="Arial" w:hAnsi="Arial"/>
          <w:i/>
          <w:iCs/>
          <w:color w:val="595959"/>
          <w:sz w:val="18"/>
          <w:szCs w:val="18"/>
        </w:rPr>
        <w:t xml:space="preserve">Source: cash flow statements in the FY2021, FY2023, FY2025 and FY2026 20-Fs. Ranked by six-year total.</w:t>
      </w:r>
    </w:p>
    <w:p>
      <w:pPr>
        <w:spacing w:after="160" w:line="276"/>
      </w:pPr>
      <w:r>
        <w:rPr>
          <w:rFonts w:ascii="Arial" w:cs="Arial" w:eastAsia="Arial" w:hAnsi="Arial"/>
          <w:sz w:val="22"/>
          <w:szCs w:val="22"/>
        </w:rPr>
        <w:t xml:space="preserve">The ranking describes a company that spent four years shrinking its own share count and one year abandoning that in favour of building compute. Share repurchases fell from RMB86,662 million in FY2025 to RMB7,638 million in FY2026, with no repurchases at all in any month from September 2025 through March 2026 (FY2026 20-F, Item 16E), even though US$19,050 million of authorisation remained. The special dividend was dropped and the total distribution halved from about US$4.6 billion to about US$2.5 billion. Ordinary shares outstanding, having fallen 14.4% between FY2021 and FY2025, rose 0.6% in FY2026.</w:t>
      </w:r>
    </w:p>
    <w:p>
      <w:pPr>
        <w:pStyle w:val="Heading2"/>
        <w:spacing w:after="180" w:before="180"/>
      </w:pPr>
      <w:r>
        <w:rPr>
          <w:rFonts w:ascii="Arial" w:cs="Arial" w:eastAsia="Arial" w:hAnsi="Arial"/>
          <w:b/>
          <w:bCs/>
          <w:color w:val="1F3864"/>
          <w:sz w:val="28"/>
          <w:szCs w:val="28"/>
        </w:rPr>
        <w:t xml:space="preserve">What post-dates the filings</w:t>
      </w:r>
    </w:p>
    <w:p>
      <w:pPr>
        <w:spacing w:after="160" w:line="276"/>
      </w:pPr>
      <w:r>
        <w:rPr>
          <w:rFonts w:ascii="Arial" w:cs="Arial" w:eastAsia="Arial" w:hAnsi="Arial"/>
          <w:sz w:val="22"/>
          <w:szCs w:val="22"/>
        </w:rPr>
        <w:t xml:space="preserve">Three developments after the 20-F was signed on 20 May 2026 change the capital picture materially and belong on the record.</w:t>
      </w:r>
    </w:p>
    <w:p>
      <w:pPr>
        <w:pStyle w:val="ListParagraph"/>
        <w:numPr>
          <w:ilvl w:val="0"/>
          <w:numId w:val="2"/>
        </w:numPr>
        <w:spacing w:after="120" w:line="276"/>
      </w:pPr>
      <w:r>
        <w:rPr>
          <w:rFonts w:ascii="Arial" w:cs="Arial" w:eastAsia="Arial" w:hAnsi="Arial"/>
          <w:b/>
          <w:bCs/>
          <w:sz w:val="22"/>
          <w:szCs w:val="22"/>
        </w:rPr>
        <w:t xml:space="preserve">An equity raise. </w:t>
      </w:r>
      <w:r>
        <w:rPr>
          <w:rFonts w:ascii="Arial" w:cs="Arial" w:eastAsia="Arial" w:hAnsi="Arial"/>
          <w:sz w:val="22"/>
          <w:szCs w:val="22"/>
        </w:rPr>
        <w:t xml:space="preserve">On 26 August 2026 Alibaba completed a placing of 710,000,000 new ordinary shares at HK$112.70, raising HK$80.0 billion gross — the company's own announcement puts the dilution at approximately 3.70% of the pre-issue share count. Alibaba stated that 100% of net proceeds would fund full-stack AI capability, splitting it as approximately 60%, or HK$47,871 million, to expand global computing infrastructure and approximately 40%, or HK$31,914 million, to accelerate hyperscale AI data-centre buildout. The company characterised the price as a 3.6% discount to a referenced ADR-derived share price; the same announcement discloses it as a 9.0% discount to the five-session average close.</w:t>
      </w:r>
    </w:p>
    <w:p>
      <w:pPr>
        <w:pStyle w:val="ListParagraph"/>
        <w:numPr>
          <w:ilvl w:val="0"/>
          <w:numId w:val="2"/>
        </w:numPr>
        <w:spacing w:after="120" w:line="276"/>
      </w:pPr>
      <w:r>
        <w:rPr>
          <w:rFonts w:ascii="Arial" w:cs="Arial" w:eastAsia="Arial" w:hAnsi="Arial"/>
          <w:b/>
          <w:bCs/>
          <w:sz w:val="22"/>
          <w:szCs w:val="22"/>
        </w:rPr>
        <w:t xml:space="preserve">A capex plan running ahead of itself. </w:t>
      </w:r>
      <w:r>
        <w:rPr>
          <w:rFonts w:ascii="Arial" w:cs="Arial" w:eastAsia="Arial" w:hAnsi="Arial"/>
          <w:sz w:val="22"/>
          <w:szCs w:val="22"/>
        </w:rPr>
        <w:t xml:space="preserve">On 24 February 2025 Alibaba announced it would invest RMB380 billion in AI and cloud infrastructure over three years. In May 2026 the chief executive said publicly that the company would likely overshoot that figure, and no revised headline has been issued. June-quarter capital expenditure alone was RMB67,678 million, up 75% year-on-year; annualised, that is roughly twice the pace the announced plan implies (inferred).</w:t>
      </w:r>
    </w:p>
    <w:p>
      <w:pPr>
        <w:pStyle w:val="ListParagraph"/>
        <w:numPr>
          <w:ilvl w:val="0"/>
          <w:numId w:val="2"/>
        </w:numPr>
        <w:spacing w:after="120" w:line="276"/>
      </w:pPr>
      <w:r>
        <w:rPr>
          <w:rFonts w:ascii="Arial" w:cs="Arial" w:eastAsia="Arial" w:hAnsi="Arial"/>
          <w:b/>
          <w:bCs/>
          <w:sz w:val="22"/>
          <w:szCs w:val="22"/>
        </w:rPr>
        <w:t xml:space="preserve">Cash still going out. </w:t>
      </w:r>
      <w:r>
        <w:rPr>
          <w:rFonts w:ascii="Arial" w:cs="Arial" w:eastAsia="Arial" w:hAnsi="Arial"/>
          <w:sz w:val="22"/>
          <w:szCs w:val="22"/>
        </w:rPr>
        <w:t xml:space="preserve">Free cash flow in the June 2026 quarter was an outflow of RMB44,670 million, against an outflow of RMB18,815 million a year earlier. Buybacks in the quarter were US$162 million, against US$815 million a year earlier.</w:t>
      </w:r>
    </w:p>
    <w:p>
      <w:pPr>
        <w:spacing w:after="160" w:line="276"/>
      </w:pPr>
      <w:r>
        <w:rPr>
          <w:rFonts w:ascii="Arial" w:cs="Arial" w:eastAsia="Arial" w:hAnsi="Arial"/>
          <w:sz w:val="22"/>
          <w:szCs w:val="22"/>
        </w:rPr>
        <w:t xml:space="preserve">Read together, these three facts say that the company has moved from returning capital to raising it, that it is spending faster than its own announced plan, and that the deterioration in group profit has begun to narrow but has not reversed.</w:t>
      </w:r>
    </w:p>
    <w:p>
      <w:pPr>
        <w:pStyle w:val="Heading1"/>
        <w:pageBreakBefore/>
        <w:spacing w:after="200" w:before="360"/>
      </w:pPr>
      <w:r>
        <w:rPr>
          <w:rFonts w:ascii="Arial" w:cs="Arial" w:eastAsia="Arial" w:hAnsi="Arial"/>
          <w:b/>
          <w:bCs/>
          <w:color w:val="1F3864"/>
          <w:sz w:val="32"/>
          <w:szCs w:val="32"/>
        </w:rPr>
        <w:t xml:space="preserve">6. Cyclicality, Constraints and What to Monitor</w:t>
      </w:r>
    </w:p>
    <w:p>
      <w:pPr>
        <w:spacing w:after="160" w:line="276"/>
      </w:pPr>
      <w:r>
        <w:rPr>
          <w:rFonts w:ascii="Arial" w:cs="Arial" w:eastAsia="Arial" w:hAnsi="Arial"/>
          <w:sz w:val="22"/>
          <w:szCs w:val="22"/>
        </w:rPr>
        <w:t xml:space="preserve">Alibaba is a Chinese domestic consumption business with a capital-goods business bolted to it, and both halves are cyclical in different ways. The company discloses no geographic revenue split at all — note 29 of the FY2026 20-F states that because substantially all long-lived assets and substantially all revenue are in the PRC, no geographical information is presented. The available proxies are that international commerce was 14.1% of revenue and that RMB28,081 million of the RMB30,045 million FY2026 tax charge, roughly 93%, was Chinese mainland tax.</w:t>
      </w:r>
    </w:p>
    <w:p>
      <w:pPr>
        <w:pStyle w:val="Heading2"/>
        <w:spacing w:after="180" w:before="180"/>
      </w:pPr>
      <w:r>
        <w:rPr>
          <w:rFonts w:ascii="Arial" w:cs="Arial" w:eastAsia="Arial" w:hAnsi="Arial"/>
          <w:b/>
          <w:bCs/>
          <w:color w:val="1F3864"/>
          <w:sz w:val="28"/>
          <w:szCs w:val="28"/>
        </w:rPr>
        <w:t xml:space="preserve">Where the business sits in its cycle</w:t>
      </w:r>
    </w:p>
    <w:p>
      <w:pPr>
        <w:spacing w:after="160" w:line="276"/>
      </w:pPr>
      <w:r>
        <w:rPr>
          <w:rFonts w:ascii="Arial" w:cs="Arial" w:eastAsia="Arial" w:hAnsi="Arial"/>
          <w:sz w:val="22"/>
          <w:szCs w:val="22"/>
        </w:rPr>
        <w:t xml:space="preserve">This is a trough, and importantly a self-inflicted one rather than a demand collapse. Group adjusted EBITA margin was 7.5% in FY2026 against 17.4% in FY2025, 23.8% in FY2021 and 43.7% in FY2017. Free cash flow is at its worst level ever. But revenue grew 11% like-for-like and customer management revenue grew through the whole episode. The margin fell because the company chose to spend, not because customers left.</w:t>
      </w:r>
    </w:p>
    <w:p>
      <w:pPr>
        <w:spacing w:after="160" w:line="276"/>
      </w:pPr>
      <w:r>
        <w:rPr>
          <w:rFonts w:ascii="Arial" w:cs="Arial" w:eastAsia="Arial" w:hAnsi="Arial"/>
          <w:sz w:val="22"/>
          <w:szCs w:val="22"/>
        </w:rPr>
        <w:t xml:space="preserve">The quarterly path shows the trough passing. Group adjusted EBITA fell 78% in the September 2025 quarter and 84% in the March 2026 quarter, then 30% in the June 2026 quarter, when the e-commerce segment's adjusted EBITA was down only 1% year-on-year even as quick-commerce revenue grew 45%. The competitors' books say the same thing independently: JD's marketing expense fell 24.8% year-on-year in the June 2026 quarter after rising 127.6% a year earlier, and Meituan's core local commerce swung back to a RMB5.7 billion operating profit from a RMB14.1 billion loss three quarters before. The subsidy war is de-escalating on three sets of accounts at once.</w:t>
      </w:r>
    </w:p>
    <w:p>
      <w:pPr>
        <w:spacing w:after="160" w:line="276"/>
      </w:pPr>
      <w:r>
        <w:rPr>
          <w:rFonts w:ascii="Arial" w:cs="Arial" w:eastAsia="Arial" w:hAnsi="Arial"/>
          <w:sz w:val="22"/>
          <w:szCs w:val="22"/>
        </w:rPr>
        <w:t xml:space="preserve">The caution is that the capital did not go home; it changed uniform. In the same June 2026 quarter, RMB13,861 million of quarterly loss appeared in AI Labs and Applications, driven by Qwen application inference cost and user acquisition. Modelling a margin recovery on quick-commerce normalisation alone would miss this.</w:t>
      </w:r>
    </w:p>
    <w:p>
      <w:pPr>
        <w:pStyle w:val="Heading2"/>
        <w:spacing w:after="180" w:before="180"/>
      </w:pPr>
      <w:r>
        <w:rPr>
          <w:rFonts w:ascii="Arial" w:cs="Arial" w:eastAsia="Arial" w:hAnsi="Arial"/>
          <w:b/>
          <w:bCs/>
          <w:color w:val="1F3864"/>
          <w:sz w:val="28"/>
          <w:szCs w:val="28"/>
        </w:rPr>
        <w:t xml:space="preserve">Demand and the constraints that bind</w:t>
      </w:r>
    </w:p>
    <w:p>
      <w:pPr>
        <w:spacing w:after="160" w:line="276"/>
      </w:pPr>
      <w:r>
        <w:rPr>
          <w:rFonts w:ascii="Arial" w:cs="Arial" w:eastAsia="Arial" w:hAnsi="Arial"/>
          <w:sz w:val="22"/>
          <w:szCs w:val="22"/>
        </w:rPr>
        <w:t xml:space="preserve">On the consumption side, total retail sales grew 1.2% in the seven months to July 2026 and 0.6% in July alone (NBS, 17 August 2026). The consumer trade-in programme that supported high-ticket online categories was allocated RMB250 billion of ultra-long special treasury bonds for 2026, disbursed in four batches of RMB62.5 billion, with the third released around 20 June 2026 (NDRC). That is a smaller programme than 2025's against a base that programme itself inflated, which is the most probable explanation for online sales of goods other than food running at 1.1% while food runs at 16.9%.</w:t>
      </w:r>
    </w:p>
    <w:p>
      <w:pPr>
        <w:spacing w:after="160" w:line="276"/>
      </w:pPr>
      <w:r>
        <w:rPr>
          <w:rFonts w:ascii="Arial" w:cs="Arial" w:eastAsia="Arial" w:hAnsi="Arial"/>
          <w:sz w:val="22"/>
          <w:szCs w:val="22"/>
        </w:rPr>
        <w:t xml:space="preserve">On the compute side, the binding constraint is not chip design but advanced-node wafer and high-bandwidth-memory capacity. The only auditable window is Cambricon, the listed Chinese accelerator pure-play, which was reported to be running roughly 20% yields on SMIC's 7nm process with inventory equal to 45% of total assets. US policy moved the other way in January 2026, when the Bureau of Industry and Security revised its licence review policy to permit case-by-case exports of Nvidia H200-class chips to China subject to third-party testing in the United States — while China's own regulator was reported in September 2025 to have instructed domestic firms to stop buying certain Nvidia parts. Whether licences have actually been granted, in what volume, and how much of Alibaba's fleet runs on its own T-Head silicon are all (unknown).</w:t>
      </w:r>
    </w:p>
    <w:p>
      <w:pPr>
        <w:spacing w:after="160" w:line="276"/>
      </w:pPr>
      <w:r>
        <w:rPr>
          <w:rFonts w:ascii="Arial" w:cs="Arial" w:eastAsia="Arial" w:hAnsi="Arial"/>
          <w:sz w:val="22"/>
          <w:szCs w:val="22"/>
        </w:rPr>
        <w:t xml:space="preserve">The downside mechanism worth carrying is depreciation. Capital expenditure of RMB67,678 million in a single quarter becomes roughly RMB20–25 billion a quarter of depreciation two to three years later on a three-to-five-year life (inferred). If cloud revenue compounds more slowly than the fleet, the margin the company has just started to expand goes into reverse for reasons that have nothing to do with demand. Capital expenditure grew 75% year-on-year in the June quarter against cloud revenue growth of 45%; that gap is currently negative for the shareholder.</w:t>
      </w:r>
    </w:p>
    <w:p>
      <w:pPr>
        <w:pStyle w:val="Heading2"/>
        <w:spacing w:after="180" w:before="180"/>
      </w:pPr>
      <w:r>
        <w:rPr>
          <w:rFonts w:ascii="Arial" w:cs="Arial" w:eastAsia="Arial" w:hAnsi="Arial"/>
          <w:b/>
          <w:bCs/>
          <w:color w:val="1F3864"/>
          <w:sz w:val="28"/>
          <w:szCs w:val="28"/>
        </w:rPr>
        <w:t xml:space="preserve">Durable against borrowed</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4400"/>
        <w:gridCol w:w="4600"/>
      </w:tblGrid>
      <w:tr>
        <w:trPr>
          <w:tblHeader/>
        </w:trPr>
        <w:tc>
          <w:tcPr>
            <w:tcW w:type="dxa" w:w="44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Durable — likely intact in ten years</w:t>
            </w:r>
          </w:p>
        </w:tc>
        <w:tc>
          <w:tcPr>
            <w:tcW w:type="dxa" w:w="46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Borrowed — currently helping, and will stop</w:t>
            </w:r>
          </w:p>
        </w:tc>
      </w:tr>
      <w:tr>
        <w:trPr>
          <w:tblHeader w:val="false"/>
        </w:trPr>
        <w:tc>
          <w:tcPr>
            <w:tcW w:type="dxa" w:w="4400"/>
            <w:tcMar>
              <w:top w:type="dxa" w:w="80"/>
              <w:left w:type="dxa" w:w="120"/>
              <w:bottom w:type="dxa" w:w="80"/>
              <w:right w:type="dxa" w:w="120"/>
            </w:tcMar>
          </w:tcPr>
          <w:p>
            <w:pPr>
              <w:spacing w:after="0" w:line="260"/>
              <w:jc w:val="left"/>
            </w:pPr>
            <w:r>
              <w:rPr>
                <w:rFonts w:ascii="Arial" w:cs="Arial" w:eastAsia="Arial" w:hAnsi="Arial"/>
                <w:sz w:val="20"/>
                <w:szCs w:val="20"/>
              </w:rPr>
              <w:t xml:space="preserve">Merchant demand aggregation and the advertising auction that prices it</w:t>
            </w:r>
          </w:p>
        </w:tc>
        <w:tc>
          <w:tcPr>
            <w:tcW w:type="dxa" w:w="4600"/>
            <w:tcMar>
              <w:top w:type="dxa" w:w="80"/>
              <w:left w:type="dxa" w:w="120"/>
              <w:bottom w:type="dxa" w:w="80"/>
              <w:right w:type="dxa" w:w="120"/>
            </w:tcMar>
          </w:tcPr>
          <w:p>
            <w:pPr>
              <w:spacing w:after="0" w:line="260"/>
              <w:jc w:val="left"/>
            </w:pPr>
            <w:r>
              <w:rPr>
                <w:rFonts w:ascii="Arial" w:cs="Arial" w:eastAsia="Arial" w:hAnsi="Arial"/>
                <w:sz w:val="20"/>
                <w:szCs w:val="20"/>
              </w:rPr>
              <w:t xml:space="preserve">Subsidy-funded quick-commerce volume growth, now targeted by draft regulation</w:t>
            </w:r>
          </w:p>
        </w:tc>
      </w:tr>
      <w:tr>
        <w:trPr>
          <w:tblHeader w:val="false"/>
        </w:trPr>
        <w:tc>
          <w:tcPr>
            <w:tcW w:type="dxa" w:w="4400"/>
            <w:tcMar>
              <w:top w:type="dxa" w:w="80"/>
              <w:left w:type="dxa" w:w="120"/>
              <w:bottom w:type="dxa" w:w="80"/>
              <w:right w:type="dxa" w:w="120"/>
            </w:tcMar>
          </w:tcPr>
          <w:p>
            <w:pPr>
              <w:spacing w:after="0" w:line="260"/>
              <w:jc w:val="left"/>
            </w:pPr>
            <w:r>
              <w:rPr>
                <w:rFonts w:ascii="Arial" w:cs="Arial" w:eastAsia="Arial" w:hAnsi="Arial"/>
                <w:sz w:val="20"/>
                <w:szCs w:val="20"/>
              </w:rPr>
              <w:t xml:space="preserve">The largest Chinese cloud installed base and the first-party workloads that fill it</w:t>
            </w:r>
          </w:p>
        </w:tc>
        <w:tc>
          <w:tcPr>
            <w:tcW w:type="dxa" w:w="4600"/>
            <w:tcMar>
              <w:top w:type="dxa" w:w="80"/>
              <w:left w:type="dxa" w:w="120"/>
              <w:bottom w:type="dxa" w:w="80"/>
              <w:right w:type="dxa" w:w="120"/>
            </w:tcMar>
          </w:tcPr>
          <w:p>
            <w:pPr>
              <w:spacing w:after="0" w:line="260"/>
              <w:jc w:val="left"/>
            </w:pPr>
            <w:r>
              <w:rPr>
                <w:rFonts w:ascii="Arial" w:cs="Arial" w:eastAsia="Arial" w:hAnsi="Arial"/>
                <w:sz w:val="20"/>
                <w:szCs w:val="20"/>
              </w:rPr>
              <w:t xml:space="preserve">Investment gains flattering reported net income (RMB74,416 million in FY2026)</w:t>
            </w:r>
          </w:p>
        </w:tc>
      </w:tr>
      <w:tr>
        <w:trPr>
          <w:tblHeader w:val="false"/>
        </w:trPr>
        <w:tc>
          <w:tcPr>
            <w:tcW w:type="dxa" w:w="4400"/>
            <w:tcMar>
              <w:top w:type="dxa" w:w="80"/>
              <w:left w:type="dxa" w:w="120"/>
              <w:bottom w:type="dxa" w:w="80"/>
              <w:right w:type="dxa" w:w="120"/>
            </w:tcMar>
          </w:tcPr>
          <w:p>
            <w:pPr>
              <w:spacing w:after="0" w:line="260"/>
              <w:jc w:val="left"/>
            </w:pPr>
            <w:r>
              <w:rPr>
                <w:rFonts w:ascii="Arial" w:cs="Arial" w:eastAsia="Arial" w:hAnsi="Arial"/>
                <w:sz w:val="20"/>
                <w:szCs w:val="20"/>
              </w:rPr>
              <w:t xml:space="preserve">The Qwen open-weight franchise as a demand funnel into Alibaba's own compute</w:t>
            </w:r>
          </w:p>
        </w:tc>
        <w:tc>
          <w:tcPr>
            <w:tcW w:type="dxa" w:w="4600"/>
            <w:tcMar>
              <w:top w:type="dxa" w:w="80"/>
              <w:left w:type="dxa" w:w="120"/>
              <w:bottom w:type="dxa" w:w="80"/>
              <w:right w:type="dxa" w:w="120"/>
            </w:tcMar>
          </w:tcPr>
          <w:p>
            <w:pPr>
              <w:spacing w:after="0" w:line="260"/>
              <w:jc w:val="left"/>
            </w:pPr>
            <w:r>
              <w:rPr>
                <w:rFonts w:ascii="Arial" w:cs="Arial" w:eastAsia="Arial" w:hAnsi="Arial"/>
                <w:sz w:val="20"/>
                <w:szCs w:val="20"/>
              </w:rPr>
              <w:t xml:space="preserve">The absence of the prior-year litigation provision, which cut G&amp;A 25%</w:t>
            </w:r>
          </w:p>
        </w:tc>
      </w:tr>
      <w:tr>
        <w:trPr>
          <w:tblHeader w:val="false"/>
        </w:trPr>
        <w:tc>
          <w:tcPr>
            <w:tcW w:type="dxa" w:w="4400"/>
            <w:tcMar>
              <w:top w:type="dxa" w:w="80"/>
              <w:left w:type="dxa" w:w="120"/>
              <w:bottom w:type="dxa" w:w="80"/>
              <w:right w:type="dxa" w:w="120"/>
            </w:tcMar>
          </w:tcPr>
          <w:p>
            <w:pPr>
              <w:spacing w:after="0" w:line="260"/>
              <w:jc w:val="left"/>
            </w:pPr>
            <w:r>
              <w:rPr>
                <w:rFonts w:ascii="Arial" w:cs="Arial" w:eastAsia="Arial" w:hAnsi="Arial"/>
                <w:sz w:val="20"/>
                <w:szCs w:val="20"/>
              </w:rPr>
              <w:t xml:space="preserve">The 33% Ant Group interest and a payments agreement with a 50-year initial term</w:t>
            </w:r>
          </w:p>
        </w:tc>
        <w:tc>
          <w:tcPr>
            <w:tcW w:type="dxa" w:w="4600"/>
            <w:tcMar>
              <w:top w:type="dxa" w:w="80"/>
              <w:left w:type="dxa" w:w="120"/>
              <w:bottom w:type="dxa" w:w="80"/>
              <w:right w:type="dxa" w:w="120"/>
            </w:tcMar>
          </w:tcPr>
          <w:p>
            <w:pPr>
              <w:spacing w:after="0" w:line="260"/>
              <w:jc w:val="left"/>
            </w:pPr>
            <w:r>
              <w:rPr>
                <w:rFonts w:ascii="Arial" w:cs="Arial" w:eastAsia="Arial" w:hAnsi="Arial"/>
                <w:sz w:val="20"/>
                <w:szCs w:val="20"/>
              </w:rPr>
              <w:t xml:space="preserve">Cloud pricing power arising from a chip shortage rather than from product</w:t>
            </w:r>
          </w:p>
        </w:tc>
      </w:tr>
      <w:tr>
        <w:trPr>
          <w:tblHeader w:val="false"/>
        </w:trPr>
        <w:tc>
          <w:tcPr>
            <w:tcW w:type="dxa" w:w="4400"/>
            <w:tcMar>
              <w:top w:type="dxa" w:w="80"/>
              <w:left w:type="dxa" w:w="120"/>
              <w:bottom w:type="dxa" w:w="80"/>
              <w:right w:type="dxa" w:w="120"/>
            </w:tcMar>
          </w:tcPr>
          <w:p>
            <w:pPr>
              <w:spacing w:after="0" w:line="260"/>
              <w:jc w:val="left"/>
            </w:pPr>
            <w:r>
              <w:rPr>
                <w:rFonts w:ascii="Arial" w:cs="Arial" w:eastAsia="Arial" w:hAnsi="Arial"/>
                <w:sz w:val="20"/>
                <w:szCs w:val="20"/>
              </w:rPr>
              <w:t xml:space="preserve">A treasury of RMB520,824 million against RMB259,996 million of borrowings</w:t>
            </w:r>
          </w:p>
        </w:tc>
        <w:tc>
          <w:tcPr>
            <w:tcW w:type="dxa" w:w="4600"/>
            <w:tcMar>
              <w:top w:type="dxa" w:w="80"/>
              <w:left w:type="dxa" w:w="120"/>
              <w:bottom w:type="dxa" w:w="80"/>
              <w:right w:type="dxa" w:w="120"/>
            </w:tcMar>
          </w:tcPr>
          <w:p>
            <w:pPr>
              <w:spacing w:after="0" w:line="260"/>
              <w:jc w:val="left"/>
            </w:pPr>
            <w:r>
              <w:rPr>
                <w:rFonts w:ascii="Arial" w:cs="Arial" w:eastAsia="Arial" w:hAnsi="Arial"/>
                <w:sz w:val="20"/>
                <w:szCs w:val="20"/>
              </w:rPr>
              <w:t xml:space="preserve">Capital-return capacity, suspended: buybacks cut 91% and the special dividend dropped</w:t>
            </w:r>
          </w:p>
        </w:tc>
      </w:tr>
    </w:tbl>
    <w:p>
      <w:pPr>
        <w:pStyle w:val="Heading2"/>
        <w:spacing w:after="180" w:before="180"/>
      </w:pPr>
      <w:r>
        <w:rPr>
          <w:rFonts w:ascii="Arial" w:cs="Arial" w:eastAsia="Arial" w:hAnsi="Arial"/>
          <w:b/>
          <w:bCs/>
          <w:color w:val="1F3864"/>
          <w:sz w:val="28"/>
          <w:szCs w:val="28"/>
        </w:rPr>
        <w:t xml:space="preserve">What to monitor, and where it is published</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3000"/>
        <w:gridCol w:w="2900"/>
      </w:tblGrid>
      <w:tr>
        <w:trPr>
          <w:tblHeader/>
        </w:trPr>
        <w:tc>
          <w:tcPr>
            <w:tcW w:type="dxa" w:w="31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Indicator</w:t>
            </w:r>
          </w:p>
        </w:tc>
        <w:tc>
          <w:tcPr>
            <w:tcW w:type="dxa" w:w="30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Why it matters</w:t>
            </w:r>
          </w:p>
        </w:tc>
        <w:tc>
          <w:tcPr>
            <w:tcW w:type="dxa" w:w="2900"/>
            <w:shd w:fill="E8EDF5"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Where published</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Sales and marketing as % of revenue</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The single line that took group margin from 17.4% to 7.5%</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Alibaba quarterly results, 6-K</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Cloud segment adjusted EBITA margin</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Tests whether scarcity pricing persists or capacity outruns demand</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Alibaba quarterly results, 6-K</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Capex versus cloud revenue growth</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The gap determines when depreciation overtakes the revenue it funds</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Alibaba quarterly results and 20-F Item 5.B</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Free cash flow, and any further equity issuance</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Whether the AI build is self-funding</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Alibaba quarterly results; HKEX announcements</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Meituan and JD instant-retail losses</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Independent read on whether the subsidy war has really ended</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HKEX and SEC quarterly filings</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Total retail and online physical goods sales</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The demand ceiling for the whole sector</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National Bureau of Statistics, monthly</w:t>
            </w:r>
          </w:p>
        </w:tc>
      </w:tr>
      <w:tr>
        <w:trPr>
          <w:tblHeader w:val="false"/>
        </w:trPr>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Status of the food-delivery subsidy rules and Price Law amendment</w:t>
            </w:r>
          </w:p>
        </w:tc>
        <w:tc>
          <w:tcPr>
            <w:tcW w:type="dxa" w:w="3000"/>
            <w:tcMar>
              <w:top w:type="dxa" w:w="80"/>
              <w:left w:type="dxa" w:w="120"/>
              <w:bottom w:type="dxa" w:w="80"/>
              <w:right w:type="dxa" w:w="120"/>
            </w:tcMar>
          </w:tcPr>
          <w:p>
            <w:pPr>
              <w:spacing w:after="0" w:line="260"/>
              <w:jc w:val="left"/>
            </w:pPr>
            <w:r>
              <w:rPr>
                <w:rFonts w:ascii="Arial" w:cs="Arial" w:eastAsia="Arial" w:hAnsi="Arial"/>
                <w:sz w:val="20"/>
                <w:szCs w:val="20"/>
              </w:rPr>
              <w:t xml:space="preserve">Determines whether the growth method stays lawful</w:t>
            </w:r>
          </w:p>
        </w:tc>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SAMR; State Council</w:t>
            </w:r>
          </w:p>
        </w:tc>
      </w:tr>
    </w:tbl>
    <w:p>
      <w:pPr>
        <w:pStyle w:val="Heading1"/>
        <w:pageBreakBefore/>
        <w:spacing w:after="200" w:before="360"/>
      </w:pPr>
      <w:r>
        <w:rPr>
          <w:rFonts w:ascii="Arial" w:cs="Arial" w:eastAsia="Arial" w:hAnsi="Arial"/>
          <w:b/>
          <w:bCs/>
          <w:color w:val="1F3864"/>
          <w:sz w:val="32"/>
          <w:szCs w:val="32"/>
        </w:rPr>
        <w:t xml:space="preserve">7. Risks, Unknowns and Questions for Deeper Work</w:t>
      </w:r>
    </w:p>
    <w:p>
      <w:pPr>
        <w:spacing w:after="160" w:line="276"/>
      </w:pPr>
      <w:r>
        <w:rPr>
          <w:rFonts w:ascii="Arial" w:cs="Arial" w:eastAsia="Arial" w:hAnsi="Arial"/>
          <w:sz w:val="22"/>
          <w:szCs w:val="22"/>
        </w:rPr>
        <w:t xml:space="preserve">Cyclicality is dealt with in Section 6. What follows is what cyclicality does not capture, ordered by how much it compounds with the others.</w:t>
      </w:r>
    </w:p>
    <w:p>
      <w:pPr>
        <w:pStyle w:val="ListParagraph"/>
        <w:numPr>
          <w:ilvl w:val="0"/>
          <w:numId w:val="2"/>
        </w:numPr>
        <w:spacing w:after="120" w:line="276"/>
      </w:pPr>
      <w:r>
        <w:rPr>
          <w:rFonts w:ascii="Arial" w:cs="Arial" w:eastAsia="Arial" w:hAnsi="Arial"/>
          <w:b/>
          <w:bCs/>
          <w:sz w:val="22"/>
          <w:szCs w:val="22"/>
        </w:rPr>
        <w:t xml:space="preserve">The denominator has been withdrawn while the ratio is still being claimed. </w:t>
      </w:r>
      <w:r>
        <w:rPr>
          <w:rFonts w:ascii="Arial" w:cs="Arial" w:eastAsia="Arial" w:hAnsi="Arial"/>
          <w:sz w:val="22"/>
          <w:szCs w:val="22"/>
        </w:rPr>
        <w:t xml:space="preserve">The FY2026 20-F defines take rate in its glossary, states that customer management revenue rose "driven by the improvement of take rate," and quantifies neither the take rate nor the GMV beneath it. Every per-unit metric that existed in FY2017 — monetisation rate of 3.03%, revenue per annual active buyer, mobile MAU, 874,000 cloud paying customers — and the FY2021 disclosures of 1.13 billion global annual active consumers and RMB7,494 billion of China retail GMV have all been removed. The mechanism is that an investor can no longer distinguish a take-rate gain from a volume decline; the June-quarter 8% fall in China e-commerce revenue is, from outside, untestable. This compounds every other risk on this list, because it removes the instrument that would detect them early.</w:t>
      </w:r>
    </w:p>
    <w:p>
      <w:pPr>
        <w:pStyle w:val="ListParagraph"/>
        <w:numPr>
          <w:ilvl w:val="0"/>
          <w:numId w:val="2"/>
        </w:numPr>
        <w:spacing w:after="120" w:line="276"/>
      </w:pPr>
      <w:r>
        <w:rPr>
          <w:rFonts w:ascii="Arial" w:cs="Arial" w:eastAsia="Arial" w:hAnsi="Arial"/>
          <w:b/>
          <w:bCs/>
          <w:sz w:val="22"/>
          <w:szCs w:val="22"/>
        </w:rPr>
        <w:t xml:space="preserve">The principal growth method may become unlawful before it becomes profitable. </w:t>
      </w:r>
      <w:r>
        <w:rPr>
          <w:rFonts w:ascii="Arial" w:cs="Arial" w:eastAsia="Arial" w:hAnsi="Arial"/>
          <w:sz w:val="22"/>
          <w:szCs w:val="22"/>
        </w:rPr>
        <w:t xml:space="preserve">On 17 June 2026 SAMR published draft Ten Rules on Food-Delivery Platform Subsidy Conduct for comment, prohibiting long-term large-scale subsidies that distort competition, compelling merchants to bear subsidy cost, and selling below cost, with mandatory disclosure of subsidy programmes; a first amendment in 27 years to the Price Law is in progress specifically to tighten the below-cost test. The revised Anti-Unfair Competition Law took effect on 15 October 2025. Final promulgation of the Ten Rules as at 7 September 2026 is (unknown). The mechanism: quick commerce reached RMB78.5 billion of FY2026 revenue on subsidies reported as contra-revenue, and a rule that caps the subsidy without capping the delivery fleet leaves a fixed cost base that cannot be subsidised into utilisation.</w:t>
      </w:r>
    </w:p>
    <w:p>
      <w:pPr>
        <w:pStyle w:val="ListParagraph"/>
        <w:numPr>
          <w:ilvl w:val="0"/>
          <w:numId w:val="2"/>
        </w:numPr>
        <w:spacing w:after="120" w:line="276"/>
      </w:pPr>
      <w:r>
        <w:rPr>
          <w:rFonts w:ascii="Arial" w:cs="Arial" w:eastAsia="Arial" w:hAnsi="Arial"/>
          <w:b/>
          <w:bCs/>
          <w:sz w:val="22"/>
          <w:szCs w:val="22"/>
        </w:rPr>
        <w:t xml:space="preserve">A US military-company designation with unquantified consequences. </w:t>
      </w:r>
      <w:r>
        <w:rPr>
          <w:rFonts w:ascii="Arial" w:cs="Arial" w:eastAsia="Arial" w:hAnsi="Arial"/>
          <w:sz w:val="22"/>
          <w:szCs w:val="22"/>
        </w:rPr>
        <w:t xml:space="preserve">A Federal Register notice of 10 June 2026 designated Alibaba, alongside 64 other entities, under Section 1260H. The FY2026 20-F, written before that notice, discloses that an earlier February 2026 designation was withdrawn, that even a designation without blocking sanctions has "significant adverse effect on our reputation, supply chain, business operations," and that relationships with business partners "have been affected" in anticipation. The concrete enforcement consequence of the June notice is not stated in it (unknown).</w:t>
      </w:r>
    </w:p>
    <w:p>
      <w:pPr>
        <w:pStyle w:val="ListParagraph"/>
        <w:numPr>
          <w:ilvl w:val="0"/>
          <w:numId w:val="2"/>
        </w:numPr>
        <w:spacing w:after="120" w:line="276"/>
      </w:pPr>
      <w:r>
        <w:rPr>
          <w:rFonts w:ascii="Arial" w:cs="Arial" w:eastAsia="Arial" w:hAnsi="Arial"/>
          <w:b/>
          <w:bCs/>
          <w:sz w:val="22"/>
          <w:szCs w:val="22"/>
        </w:rPr>
        <w:t xml:space="preserve">Compute supply squeezed from both directions. </w:t>
      </w:r>
      <w:r>
        <w:rPr>
          <w:rFonts w:ascii="Arial" w:cs="Arial" w:eastAsia="Arial" w:hAnsi="Arial"/>
          <w:sz w:val="22"/>
          <w:szCs w:val="22"/>
        </w:rPr>
        <w:t xml:space="preserve">US restrictions bear on advanced chips and semiconductor equipment; a bill passed by the House in January 2026 would further restrict Chinese access to remote compute powered by US chips; and China's own regulator moved in the opposite direction in September 2025 by discouraging purchases of certain Nvidia parts. Alibaba states in the FY2026 20-F that "our supply chain has been and may be further disrupted, and our access to critical products and services, such as chips and data center services, have been and may be further negatively affected." The transmission is direct: constrained compute constrains the only segment whose margin is expanding.</w:t>
      </w:r>
    </w:p>
    <w:p>
      <w:pPr>
        <w:pStyle w:val="ListParagraph"/>
        <w:numPr>
          <w:ilvl w:val="0"/>
          <w:numId w:val="2"/>
        </w:numPr>
        <w:spacing w:after="120" w:line="276"/>
      </w:pPr>
      <w:r>
        <w:rPr>
          <w:rFonts w:ascii="Arial" w:cs="Arial" w:eastAsia="Arial" w:hAnsi="Arial"/>
          <w:b/>
          <w:bCs/>
          <w:sz w:val="22"/>
          <w:szCs w:val="22"/>
        </w:rPr>
        <w:t xml:space="preserve">Structural and listing risk that is dormant, not removed. </w:t>
      </w:r>
      <w:r>
        <w:rPr>
          <w:rFonts w:ascii="Arial" w:cs="Arial" w:eastAsia="Arial" w:hAnsi="Arial"/>
          <w:sz w:val="22"/>
          <w:szCs w:val="22"/>
        </w:rPr>
        <w:t xml:space="preserve">Variable interest entities generated RMB119,561 million of FY2026 third-party revenue, 11.7% of the group total, and hold the internet licences on which the consumer businesses depend; the contractual arrangements have never been tested in a PRC court. Separately, RMB344.6 billion of net assets are restricted from distribution under PRC law. On audit inspection, the PCAOB vacated its determinations in December 2022 and Alibaba does not expect to be named a Commission-Identified Issuer, but access depends on factors the company says are outside its control; the completed conversion to primary listing in Hong Kong in August 2024 is the mitigant.</w:t>
      </w:r>
    </w:p>
    <w:p>
      <w:pPr>
        <w:pStyle w:val="ListParagraph"/>
        <w:numPr>
          <w:ilvl w:val="0"/>
          <w:numId w:val="2"/>
        </w:numPr>
        <w:spacing w:after="120" w:line="276"/>
      </w:pPr>
      <w:r>
        <w:rPr>
          <w:rFonts w:ascii="Arial" w:cs="Arial" w:eastAsia="Arial" w:hAnsi="Arial"/>
          <w:b/>
          <w:bCs/>
          <w:sz w:val="22"/>
          <w:szCs w:val="22"/>
        </w:rPr>
        <w:t xml:space="preserve">Concentration inside the growth engine. </w:t>
      </w:r>
      <w:r>
        <w:rPr>
          <w:rFonts w:ascii="Arial" w:cs="Arial" w:eastAsia="Arial" w:hAnsi="Arial"/>
          <w:sz w:val="22"/>
          <w:szCs w:val="22"/>
        </w:rPr>
        <w:t xml:space="preserve">Ant Group, in which Alibaba holds 33% and over which it states it has no control, is now a cloud customer generating RMB19,134 million of FY2026 related-party revenue — 12.1% of cloud segment revenue, up from RMB8,814 million in FY2024. Ant also operates Alipay, which settles a significant majority of marketplace transactions and to which Alibaba paid RMB18,019 million in FY2026. The same counterparty is simultaneously the settlement layer of the commerce business and a material customer of the cloud business.</w:t>
      </w:r>
    </w:p>
    <w:p>
      <w:pPr>
        <w:pStyle w:val="ListParagraph"/>
        <w:numPr>
          <w:ilvl w:val="0"/>
          <w:numId w:val="2"/>
        </w:numPr>
        <w:spacing w:after="120" w:line="276"/>
      </w:pPr>
      <w:r>
        <w:rPr>
          <w:rFonts w:ascii="Arial" w:cs="Arial" w:eastAsia="Arial" w:hAnsi="Arial"/>
          <w:b/>
          <w:bCs/>
          <w:sz w:val="22"/>
          <w:szCs w:val="22"/>
        </w:rPr>
        <w:t xml:space="preserve">A loss centre that is new and barely disclosed. </w:t>
      </w:r>
      <w:r>
        <w:rPr>
          <w:rFonts w:ascii="Arial" w:cs="Arial" w:eastAsia="Arial" w:hAnsi="Arial"/>
          <w:sz w:val="22"/>
          <w:szCs w:val="22"/>
        </w:rPr>
        <w:t xml:space="preserve">AI Labs and Applications, created as a reportable segment in the June 2026 quarter, lost RMB13,861 million on RMB3,338 million of revenue in its first reported quarter, a fourfold widening year-on-year, attributed to Qwen application inference cost and user acquisition. Annualised, that is a loss of the order of RMB55 billion (inferred) against a group adjusted EBITA of RMB76 billion in FY2026.</w:t>
      </w:r>
    </w:p>
    <w:p>
      <w:pPr>
        <w:pStyle w:val="Heading2"/>
        <w:spacing w:after="180" w:before="180"/>
      </w:pPr>
      <w:r>
        <w:rPr>
          <w:rFonts w:ascii="Arial" w:cs="Arial" w:eastAsia="Arial" w:hAnsi="Arial"/>
          <w:b/>
          <w:bCs/>
          <w:color w:val="1F3864"/>
          <w:sz w:val="28"/>
          <w:szCs w:val="28"/>
        </w:rPr>
        <w:t xml:space="preserve">What the sources could not answer</w:t>
      </w:r>
    </w:p>
    <w:p>
      <w:pPr>
        <w:spacing w:after="160" w:line="276"/>
      </w:pPr>
      <w:r>
        <w:rPr>
          <w:rFonts w:ascii="Arial" w:cs="Arial" w:eastAsia="Arial" w:hAnsi="Arial"/>
          <w:sz w:val="22"/>
          <w:szCs w:val="22"/>
        </w:rPr>
        <w:t xml:space="preserve">Each of the following is a disclosure gap rather than a research failure, and each would need resolving before an investor could form a view on the unit economics of this business.</w:t>
      </w:r>
    </w:p>
    <w:p>
      <w:pPr>
        <w:pStyle w:val="ListParagraph"/>
        <w:numPr>
          <w:ilvl w:val="0"/>
          <w:numId w:val="2"/>
        </w:numPr>
        <w:spacing w:after="120" w:line="276"/>
      </w:pPr>
      <w:r>
        <w:rPr>
          <w:rFonts w:ascii="Arial" w:cs="Arial" w:eastAsia="Arial" w:hAnsi="Arial"/>
          <w:sz w:val="22"/>
          <w:szCs w:val="22"/>
        </w:rPr>
        <w:t xml:space="preserve">GMV, take rate, annual active consumers, order volumes, merchant counts and cloud paying customers — none is disclosed in the FY2026 20-F. The unit economics of a marketplace transaction cannot be computed from the filings.</w:t>
      </w:r>
    </w:p>
    <w:p>
      <w:pPr>
        <w:pStyle w:val="ListParagraph"/>
        <w:numPr>
          <w:ilvl w:val="0"/>
          <w:numId w:val="2"/>
        </w:numPr>
        <w:spacing w:after="120" w:line="276"/>
      </w:pPr>
      <w:r>
        <w:rPr>
          <w:rFonts w:ascii="Arial" w:cs="Arial" w:eastAsia="Arial" w:hAnsi="Arial"/>
          <w:sz w:val="22"/>
          <w:szCs w:val="22"/>
        </w:rPr>
        <w:t xml:space="preserve">Quick-commerce order volumes, per-order economics, subsidy spend and standalone segment profit — not disclosed in the FY2026 20-F or the June Quarter 2026 release. The claim that quick commerce strengthens the core platform is therefore untestable from outside.</w:t>
      </w:r>
    </w:p>
    <w:p>
      <w:pPr>
        <w:pStyle w:val="ListParagraph"/>
        <w:numPr>
          <w:ilvl w:val="0"/>
          <w:numId w:val="2"/>
        </w:numPr>
        <w:spacing w:after="120" w:line="276"/>
      </w:pPr>
      <w:r>
        <w:rPr>
          <w:rFonts w:ascii="Arial" w:cs="Arial" w:eastAsia="Arial" w:hAnsi="Arial"/>
          <w:sz w:val="22"/>
          <w:szCs w:val="22"/>
        </w:rPr>
        <w:t xml:space="preserve">The carrying value of the 33% Ant Group interest, which sits inside RMB206,803 million of equity method investees. The only figure the filings give is the RMB90.7 billion initial carrying value on recognition in 2019.</w:t>
      </w:r>
    </w:p>
    <w:p>
      <w:pPr>
        <w:pStyle w:val="ListParagraph"/>
        <w:numPr>
          <w:ilvl w:val="0"/>
          <w:numId w:val="2"/>
        </w:numPr>
        <w:spacing w:after="120" w:line="276"/>
      </w:pPr>
      <w:r>
        <w:rPr>
          <w:rFonts w:ascii="Arial" w:cs="Arial" w:eastAsia="Arial" w:hAnsi="Arial"/>
          <w:sz w:val="22"/>
          <w:szCs w:val="22"/>
        </w:rPr>
        <w:t xml:space="preserve">The rate of the GMV-based software service fee, the Alipay processing rate, and the composition of the RMB67,931 million build in prepayments and receivables.</w:t>
      </w:r>
    </w:p>
    <w:p>
      <w:pPr>
        <w:pStyle w:val="ListParagraph"/>
        <w:numPr>
          <w:ilvl w:val="0"/>
          <w:numId w:val="2"/>
        </w:numPr>
        <w:spacing w:after="120" w:line="276"/>
      </w:pPr>
      <w:r>
        <w:rPr>
          <w:rFonts w:ascii="Arial" w:cs="Arial" w:eastAsia="Arial" w:hAnsi="Arial"/>
          <w:sz w:val="22"/>
          <w:szCs w:val="22"/>
        </w:rPr>
        <w:t xml:space="preserve">Any revised figure for the three-year AI and cloud investment plan. Management has said publicly that RMB380 billion will be overshot; no replacement number has been issued, and spending is running at roughly twice the announced pace.</w:t>
      </w:r>
    </w:p>
    <w:p>
      <w:pPr>
        <w:pStyle w:val="ListParagraph"/>
        <w:numPr>
          <w:ilvl w:val="0"/>
          <w:numId w:val="2"/>
        </w:numPr>
        <w:spacing w:after="120" w:line="276"/>
      </w:pPr>
      <w:r>
        <w:rPr>
          <w:rFonts w:ascii="Arial" w:cs="Arial" w:eastAsia="Arial" w:hAnsi="Arial"/>
          <w:sz w:val="22"/>
          <w:szCs w:val="22"/>
        </w:rPr>
        <w:t xml:space="preserve">What share of Alibaba's compute fleet runs on its own T-Head silicon, and at what cost. Production "at scale" is claimed in the FY2026 20-F with no volumes.</w:t>
      </w:r>
    </w:p>
    <w:p>
      <w:pPr>
        <w:pStyle w:val="ListParagraph"/>
        <w:numPr>
          <w:ilvl w:val="0"/>
          <w:numId w:val="2"/>
        </w:numPr>
        <w:spacing w:after="120" w:line="276"/>
      </w:pPr>
      <w:r>
        <w:rPr>
          <w:rFonts w:ascii="Arial" w:cs="Arial" w:eastAsia="Arial" w:hAnsi="Arial"/>
          <w:sz w:val="22"/>
          <w:szCs w:val="22"/>
        </w:rPr>
        <w:t xml:space="preserve">A full FY2025 business narrative and risk-factor set: the FY2025 20-F incorporates Items 4 through 7 and the risk factors by reference to a Hong Kong annual report not filed with the SEC, and the FY2026 20-F refers its own FY2024-versus-FY2025 comparison back into that document.</w:t>
      </w:r>
    </w:p>
    <w:p>
      <w:pPr>
        <w:pStyle w:val="Heading1"/>
        <w:pageBreakBefore/>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2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toll on other people's commerce, attached to a compute utility. Nearly half of revenue is a levy on merchandise Alibaba never owns, and almost all of the group's profit comes from it.</w:t>
      </w:r>
    </w:p>
    <w:p>
      <w:pPr>
        <w:pStyle w:val="ListParagraph"/>
        <w:numPr>
          <w:ilvl w:val="0"/>
          <w:numId w:val="2"/>
        </w:numPr>
        <w:spacing w:after="120" w:line="276"/>
      </w:pPr>
      <w:r>
        <w:rPr>
          <w:rFonts w:ascii="Arial" w:cs="Arial" w:eastAsia="Arial" w:hAnsi="Arial"/>
          <w:b/>
          <w:bCs/>
          <w:sz w:val="22"/>
          <w:szCs w:val="22"/>
        </w:rPr>
        <w:t xml:space="preserve">The core economic engine: </w:t>
      </w:r>
      <w:r>
        <w:rPr>
          <w:rFonts w:ascii="Arial" w:cs="Arial" w:eastAsia="Arial" w:hAnsi="Arial"/>
          <w:sz w:val="22"/>
          <w:szCs w:val="22"/>
        </w:rPr>
        <w:t xml:space="preserve">merchant competition for consumer attention, priced by auction. It survived the worst subsidy war in the sector's history — customer management revenue grew every quarter through it.</w:t>
      </w:r>
    </w:p>
    <w:p>
      <w:pPr>
        <w:pStyle w:val="ListParagraph"/>
        <w:numPr>
          <w:ilvl w:val="0"/>
          <w:numId w:val="2"/>
        </w:numPr>
        <w:spacing w:after="120" w:line="276"/>
      </w:pPr>
      <w:r>
        <w:rPr>
          <w:rFonts w:ascii="Arial" w:cs="Arial" w:eastAsia="Arial" w:hAnsi="Arial"/>
          <w:b/>
          <w:bCs/>
          <w:sz w:val="22"/>
          <w:szCs w:val="22"/>
        </w:rPr>
        <w:t xml:space="preserve">The main growth lever: </w:t>
      </w:r>
      <w:r>
        <w:rPr>
          <w:rFonts w:ascii="Arial" w:cs="Arial" w:eastAsia="Arial" w:hAnsi="Arial"/>
          <w:sz w:val="22"/>
          <w:szCs w:val="22"/>
        </w:rPr>
        <w:t xml:space="preserve">cloud and AI compute, the only part of the group where revenue growth is accelerating and margin is expanding at the same time.</w:t>
      </w:r>
    </w:p>
    <w:p>
      <w:pPr>
        <w:pStyle w:val="ListParagraph"/>
        <w:numPr>
          <w:ilvl w:val="0"/>
          <w:numId w:val="2"/>
        </w:numPr>
        <w:spacing w:after="12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a capital-expenditure programme running at roughly twice its announced pace, now part-funded by equity, converting into depreciation faster than cloud revenue compounds — while the disclosure needed to see it happening has been withdrawn.</w:t>
      </w:r>
    </w:p>
    <w:p>
      <w:pPr>
        <w:pStyle w:val="ListParagraph"/>
        <w:numPr>
          <w:ilvl w:val="0"/>
          <w:numId w:val="2"/>
        </w:numPr>
        <w:spacing w:after="120" w:line="276"/>
      </w:pPr>
      <w:r>
        <w:rPr>
          <w:rFonts w:ascii="Arial" w:cs="Arial" w:eastAsia="Arial" w:hAnsi="Arial"/>
          <w:b/>
          <w:bCs/>
          <w:sz w:val="22"/>
          <w:szCs w:val="22"/>
        </w:rPr>
        <w:t xml:space="preserve">What to monitor: </w:t>
      </w:r>
      <w:r>
        <w:rPr>
          <w:rFonts w:ascii="Arial" w:cs="Arial" w:eastAsia="Arial" w:hAnsi="Arial"/>
          <w:sz w:val="22"/>
          <w:szCs w:val="22"/>
        </w:rPr>
        <w:t xml:space="preserve">sales and marketing as a share of revenue, the cloud segment margin, and free cash flow. Those three lines will say whether FY2026 was an investment year or a change in the kind of business this 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2026-09-07T16:22:27.382Z</dcterms:created>
  <dcterms:modified xsi:type="dcterms:W3CDTF">2026-09-07T16:22:27.382Z</dcterms:modified>
</cp:coreProperties>
</file>

<file path=docProps/custom.xml><?xml version="1.0" encoding="utf-8"?>
<Properties xmlns="http://schemas.openxmlformats.org/officeDocument/2006/custom-properties" xmlns:vt="http://schemas.openxmlformats.org/officeDocument/2006/docPropsVTypes"/>
</file>