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SimSun" w:hAnsi="Arial"/>
          <w:b/>
          <w:bCs/>
          <w:color w:val="1F3864"/>
          <w:sz w:val="56"/>
          <w:szCs w:val="56"/>
        </w:rPr>
        <w:t xml:space="preserve">业务概览</w:t>
      </w:r>
    </w:p>
    <w:p>
      <w:pPr>
        <w:spacing w:after="500" w:before="0"/>
        <w:jc w:val="center"/>
      </w:pPr>
      <w:r>
        <w:rPr>
          <w:rFonts w:ascii="Arial" w:cs="Arial" w:eastAsia="SimSun" w:hAnsi="Arial"/>
          <w:b/>
          <w:bCs/>
          <w:color w:val="2B2B2B"/>
          <w:sz w:val="36"/>
          <w:szCs w:val="36"/>
        </w:rPr>
        <w:t xml:space="preserve">Alphabet Inc.（纳斯达克代码：GOOG / GOOGL）</w:t>
      </w:r>
    </w:p>
    <w:p>
      <w:pPr>
        <w:spacing w:after="140" w:before="0"/>
        <w:jc w:val="center"/>
      </w:pPr>
      <w:r>
        <w:rPr>
          <w:rFonts w:ascii="Arial" w:cs="Arial" w:eastAsia="SimSun" w:hAnsi="Arial"/>
          <w:color w:val="555555"/>
          <w:sz w:val="24"/>
          <w:szCs w:val="24"/>
        </w:rPr>
        <w:t xml:space="preserve">2026年9月2日</w:t>
      </w:r>
    </w:p>
    <w:p>
      <w:pPr>
        <w:spacing w:after="120" w:before="0"/>
        <w:jc w:val="center"/>
      </w:pPr>
      <w:r>
        <w:rPr>
          <w:rFonts w:ascii="Arial" w:cs="Arial" w:eastAsia="SimSun" w:hAnsi="Arial"/>
          <w:i/>
          <w:iCs/>
          <w:color w:val="555555"/>
          <w:sz w:val="20"/>
          <w:szCs w:val="20"/>
        </w:rPr>
        <w:t xml:space="preserve">证据基础：仅基于网络研究——本次分析未获提供任何内部文件。</w:t>
      </w:r>
    </w:p>
    <w:p>
      <w:pPr>
        <w:spacing w:after="120" w:before="0"/>
        <w:jc w:val="center"/>
      </w:pPr>
      <w:r>
        <w:rPr>
          <w:rFonts w:ascii="Arial" w:cs="Arial" w:eastAsia="SimSun" w:hAnsi="Arial"/>
          <w:color w:val="555555"/>
          <w:sz w:val="20"/>
          <w:szCs w:val="20"/>
        </w:rPr>
        <w:t xml:space="preserve">主要资料来源：Alphabet 截至2026年6月30日季度的10-Q表；FY2025年度10-K表；</w:t>
      </w:r>
    </w:p>
    <w:p>
      <w:pPr>
        <w:spacing w:after="120" w:before="0"/>
        <w:jc w:val="center"/>
      </w:pPr>
      <w:r>
        <w:rPr>
          <w:rFonts w:ascii="Arial" w:cs="Arial" w:eastAsia="SimSun" w:hAnsi="Arial"/>
          <w:color w:val="555555"/>
          <w:sz w:val="20"/>
          <w:szCs w:val="20"/>
        </w:rPr>
        <w:t xml:space="preserve">2025年第一季度至2026年第二季度的季度业绩公告，以及截至2026年8月10日的8-K表；</w:t>
      </w:r>
    </w:p>
    <w:p>
      <w:pPr>
        <w:spacing w:after="500" w:before="0"/>
        <w:jc w:val="center"/>
      </w:pPr>
      <w:r>
        <w:rPr>
          <w:rFonts w:ascii="Arial" w:cs="Arial" w:eastAsia="SimSun" w:hAnsi="Arial"/>
          <w:color w:val="555555"/>
          <w:sz w:val="20"/>
          <w:szCs w:val="20"/>
        </w:rPr>
        <w:t xml:space="preserve">竞争对手申报文件；Synergy Research；StatCounter；WPP Media；皮尤研究中心；美国法院记录。</w:t>
      </w:r>
    </w:p>
    <w:p>
      <w:pPr>
        <w:spacing w:after="0" w:before="0"/>
        <w:jc w:val="center"/>
      </w:pPr>
      <w:r>
        <w:rPr>
          <w:rFonts w:ascii="Arial" w:cs="Arial" w:eastAsia="SimSun" w:hAnsi="Arial"/>
          <w:i/>
          <w:iCs/>
          <w:color w:val="555555"/>
          <w:sz w:val="20"/>
          <w:szCs w:val="20"/>
        </w:rPr>
        <w:t xml:space="preserve">本文是面向长期投资者的业务与行业入门分析。</w:t>
      </w:r>
    </w:p>
    <w:p>
      <w:pPr>
        <w:spacing w:after="0" w:before="0"/>
        <w:jc w:val="center"/>
      </w:pPr>
      <w:r>
        <w:rPr>
          <w:rFonts w:ascii="Arial" w:cs="Arial" w:eastAsia="SimSun" w:hAnsi="Arial"/>
          <w:i/>
          <w:iCs/>
          <w:color w:val="555555"/>
          <w:sz w:val="20"/>
          <w:szCs w:val="20"/>
        </w:rPr>
        <w:t xml:space="preserve">本文不构成估值，也不构成投资建议。</w:t>
      </w:r>
    </w:p>
    <w:p>
      <w:pPr>
        <w:pStyle w:val="Heading1"/>
        <w:pageBreakBefore/>
        <w:spacing w:after="200" w:before="360"/>
      </w:pPr>
      <w:r>
        <w:rPr>
          <w:rFonts w:ascii="Arial" w:cs="Arial" w:eastAsia="SimSun" w:hAnsi="Arial"/>
          <w:b/>
          <w:bCs/>
          <w:color w:val="1F3864"/>
          <w:sz w:val="32"/>
          <w:szCs w:val="32"/>
        </w:rPr>
        <w:t xml:space="preserve">1.  核心速览</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960"/>
      </w:tblGrid>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这是一门什么生意</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同一控股公司下的两门生意：一个建立在 Google 搜索和 YouTube 之上的全球广告拍卖系统，以及一个超大规模云与人工智能基础设施业务。第三类资产——Waymo、风险投资股权——独立于两者之外。</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所属行业</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数字广告（WPP Media 预测2026年全球广告收入达1.3万亿美元）与云基础设施（Synergy Research 数据显示仅2026年第一季度支出即达1,290亿美元，同比增长35%）。</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如何赚钱</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它出售的是按意图定价的注意力——在搜索查询和视频旁竞价拍卖的广告位；并且越来越多地出售算力：出租加速器容量、企业级人工智能软件，以及现在直接出售的 TPU 硬件。</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经济单位</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历史上是一次付费点击。2026年第二季度付费点击量增长13%，单次点击成本增长3%（2026年第二季度10-Q表）。第二个单位现在是已签约的加速器机时：截至2026年6月30日，Google Cloud 收入积压达5,139亿美元。</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单个单位赚多少</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每一美元广告收入在扣除流量获取成本后约留存80美分。2026年第二季度 Google Services 将41.8%的收入转化为营业利润；Google Cloud 的转化率为35.6%。</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什么在保护它</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一个运行在每年超过五万亿次搜索之上的点击相关性反馈闭环；约占传统搜索查询的89%–90%（StatCounter）；通过 Android 和 Chrome 掌握的自有分发渠道；以及一款自研加速器，消除了外购芯片的中间利润。</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盈利驱动因素</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搜索及其他（占FY2025收入的55.7%）、Google Cloud（占14.6%，过去十二个月复合增速73%），以及当前正在部署的基础设施所对应的折旧计划。</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需要关注什么</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云业务收入积压的季度净增额；付费点击增速；折旧占收入的比重。</w:t>
            </w:r>
          </w:p>
        </w:tc>
      </w:tr>
      <w:tr>
        <w:tc>
          <w:tcPr>
            <w:tcW w:type="dxa" w:w="2400"/>
            <w:shd w:fill="EDF0F7" w:color="auto" w:val="clear"/>
            <w:tcMar>
              <w:top w:type="dxa" w:w="80"/>
              <w:left w:type="dxa" w:w="120"/>
              <w:bottom w:type="dxa" w:w="80"/>
              <w:right w:type="dxa" w:w="120"/>
            </w:tcMar>
          </w:tcPr>
          <w:p>
            <w:pPr>
              <w:spacing w:after="0" w:line="260"/>
              <w:jc w:val="left"/>
            </w:pPr>
            <w:r>
              <w:rPr>
                <w:rFonts w:ascii="Arial" w:cs="Arial" w:eastAsia="SimSun" w:hAnsi="Arial"/>
                <w:b/>
                <w:bCs/>
                <w:sz w:val="20"/>
                <w:szCs w:val="20"/>
              </w:rPr>
              <w:t xml:space="preserve">周期敞口</w:t>
            </w:r>
          </w:p>
        </w:tc>
        <w:tc>
          <w:tcPr>
            <w:tcW w:type="dxa" w:w="6960"/>
            <w:tcMar>
              <w:top w:type="dxa" w:w="80"/>
              <w:left w:type="dxa" w:w="120"/>
              <w:bottom w:type="dxa" w:w="80"/>
              <w:right w:type="dxa" w:w="120"/>
            </w:tcMar>
          </w:tcPr>
          <w:p>
            <w:pPr>
              <w:spacing w:after="0" w:line="260"/>
              <w:jc w:val="left"/>
            </w:pPr>
            <w:r>
              <w:rPr>
                <w:rFonts w:ascii="Arial" w:cs="Arial" w:eastAsia="SimSun" w:hAnsi="Arial"/>
                <w:sz w:val="20"/>
                <w:szCs w:val="20"/>
              </w:rPr>
              <w:t xml:space="preserve">广告业务为中等。更新且更大的敞口是资本周期，而非广告周期。</w:t>
            </w:r>
          </w:p>
        </w:tc>
      </w:tr>
    </w:tbl>
    <w:p>
      <w:pPr>
        <w:pStyle w:val="Heading1"/>
        <w:pageBreakBefore/>
        <w:spacing w:after="200" w:before="360"/>
      </w:pPr>
      <w:r>
        <w:rPr>
          <w:rFonts w:ascii="Arial" w:cs="Arial" w:eastAsia="SimSun" w:hAnsi="Arial"/>
          <w:b/>
          <w:bCs/>
          <w:color w:val="1F3864"/>
          <w:sz w:val="32"/>
          <w:szCs w:val="32"/>
        </w:rPr>
        <w:t xml:space="preserve">2.  公司做什么</w:t>
      </w:r>
    </w:p>
    <w:p>
      <w:pPr>
        <w:spacing w:after="140" w:line="276"/>
      </w:pPr>
      <w:r>
        <w:rPr>
          <w:rFonts w:ascii="Arial" w:cs="Arial" w:eastAsia="SimSun" w:hAnsi="Arial"/>
          <w:sz w:val="22"/>
          <w:szCs w:val="22"/>
        </w:rPr>
        <w:t xml:space="preserve">Alphabet 为两类互不相干的客户解决两个互不相干的问题。对广告主而言，问题在于大多数广告是在任何人表达需求之前就已买下的；Google 出售的是需求被说出之后的那一刻。对企业而言，问题在于训练和运行人工智能模型所需的加速器、电力和机房面积，几乎没有人能够规模化采购；Google Cloud 把这一整套能力出租出去。这两门生意共享同一套工程基础，但在经济上几乎毫无共同之处。</w:t>
      </w:r>
    </w:p>
    <w:p>
      <w:pPr>
        <w:pStyle w:val="Heading2"/>
        <w:spacing w:after="180" w:before="180"/>
      </w:pPr>
      <w:r>
        <w:rPr>
          <w:rFonts w:ascii="Arial" w:cs="Arial" w:eastAsia="SimSun" w:hAnsi="Arial"/>
          <w:b/>
          <w:bCs/>
          <w:color w:val="1F3864"/>
          <w:sz w:val="28"/>
          <w:szCs w:val="28"/>
        </w:rPr>
        <w:t xml:space="preserve">广告单位：从头到尾的完整链路</w:t>
      </w:r>
    </w:p>
    <w:p>
      <w:pPr>
        <w:spacing w:after="140" w:line="276"/>
      </w:pPr>
      <w:r>
        <w:rPr>
          <w:rFonts w:ascii="Arial" w:cs="Arial" w:eastAsia="SimSun" w:hAnsi="Arial"/>
          <w:sz w:val="22"/>
          <w:szCs w:val="22"/>
        </w:rPr>
        <w:t xml:space="preserve">这个单位就是一次付费点击。广告主在拍卖中设定出价。用户输入一条查询。Google 针对该查询对广告排序并展示。在用户点击之前，不产生任何计费。点击发生时，广告主按拍卖出清价被计费，而 Google 将其中一部分作为流量获取成本支付出去——支付给提供该查询的浏览器、手机厂商或运营商，或支付给提供该页面的第三方发布商。剩下的部分就是 Google 在这个单位上的收入，而且转化率极高，因为多排序一次查询的边际成本几乎为零。</w:t>
      </w:r>
    </w:p>
    <w:p>
      <w:pPr>
        <w:spacing w:after="140" w:line="276"/>
      </w:pPr>
      <w:r>
        <w:rPr>
          <w:rFonts w:ascii="Arial" w:cs="Arial" w:eastAsia="SimSun" w:hAnsi="Arial"/>
          <w:sz w:val="22"/>
          <w:szCs w:val="22"/>
        </w:rPr>
        <w:t xml:space="preserve">2026年第二季度的这笔账是这样的。Google 广告收入为816.29亿美元，流量获取成本总额为161.79亿美元，即19.8%的流量获取成本率。因此在计入任何运营成本之前，每一美元广告收入中约有五分之四被留存。真正起作用的是量而不是价：付费点击量同比增长13%，而单次点击成本增长3%，比例约为四比一。</w:t>
      </w:r>
    </w:p>
    <w:p>
      <w:pPr>
        <w:spacing w:after="140" w:line="276"/>
      </w:pPr>
      <w:r>
        <w:rPr>
          <w:rFonts w:ascii="Arial" w:cs="Arial" w:eastAsia="SimSun" w:hAnsi="Arial"/>
          <w:sz w:val="22"/>
          <w:szCs w:val="22"/>
        </w:rPr>
        <w:t xml:space="preserve">Alphabet 只披露点击量和价格的百分比变化，从不披露绝对数量。因此单次点击收入无法从申报文件中计算得出，任何声称做到这一点的数字都不应被采信。</w:t>
      </w:r>
    </w:p>
    <w:p>
      <w:pPr>
        <w:pStyle w:val="Heading2"/>
        <w:spacing w:after="180" w:before="180"/>
      </w:pPr>
      <w:r>
        <w:rPr>
          <w:rFonts w:ascii="Arial" w:cs="Arial" w:eastAsia="SimSun" w:hAnsi="Arial"/>
          <w:b/>
          <w:bCs/>
          <w:color w:val="1F3864"/>
          <w:sz w:val="28"/>
          <w:szCs w:val="28"/>
        </w:rPr>
        <w:t xml:space="preserve">每条业务线的真实面貌</w:t>
      </w:r>
    </w:p>
    <w:p>
      <w:pPr>
        <w:spacing w:after="140" w:line="276"/>
      </w:pPr>
      <w:r>
        <w:rPr>
          <w:rFonts w:ascii="Arial" w:cs="Arial" w:eastAsia="SimSun" w:hAnsi="Arial"/>
          <w:sz w:val="22"/>
          <w:szCs w:val="22"/>
        </w:rPr>
        <w:t xml:space="preserve">Alphabet 按三个分部报告——Google Services、Google Cloud 和 Other Bets——但真正让业务显形的，是 Services 内部的收入拆分。FY2025 的构成如下。</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080"/>
        <w:gridCol w:w="1920"/>
        <w:gridCol w:w="1680"/>
        <w:gridCol w:w="1680"/>
      </w:tblGrid>
      <w:tr>
        <w:tc>
          <w:tcPr>
            <w:tcW w:type="dxa" w:w="408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业务线</w:t>
            </w:r>
          </w:p>
        </w:tc>
        <w:tc>
          <w:tcPr>
            <w:tcW w:type="dxa" w:w="192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FY2025 收入</w:t>
            </w:r>
          </w:p>
        </w:tc>
        <w:tc>
          <w:tcPr>
            <w:tcW w:type="dxa" w:w="168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占比</w:t>
            </w:r>
          </w:p>
        </w:tc>
        <w:tc>
          <w:tcPr>
            <w:tcW w:type="dxa" w:w="168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五年复合增速</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Google 搜索及其他</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2,245.32亿美元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55.7%</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10.8%</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Google 订阅、平台与设备</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480.30亿美元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11.9%</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14.4%</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YouTube 广告</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403.67亿美元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10.0%</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8.8%</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Google Network</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297.92亿美元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7.4%</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(1.5%)</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Google Cloud</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587.05亿美元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14.6%</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32.2%</w:t>
            </w:r>
          </w:p>
        </w:tc>
      </w:tr>
      <w:tr>
        <w:tc>
          <w:tcPr>
            <w:tcW w:type="dxa" w:w="4080"/>
            <w:tcMar>
              <w:top w:type="dxa" w:w="80"/>
              <w:left w:type="dxa" w:w="120"/>
              <w:bottom w:type="dxa" w:w="80"/>
              <w:right w:type="dxa" w:w="120"/>
            </w:tcMar>
          </w:tcPr>
          <w:p>
            <w:pPr>
              <w:spacing w:after="0" w:line="260"/>
              <w:jc w:val="left"/>
            </w:pPr>
            <w:r>
              <w:rPr>
                <w:rFonts w:ascii="Arial" w:cs="Arial" w:eastAsia="SimSun" w:hAnsi="Arial"/>
                <w:sz w:val="20"/>
                <w:szCs w:val="20"/>
              </w:rPr>
              <w:t xml:space="preserve">Other Bets</w:t>
            </w:r>
          </w:p>
        </w:tc>
        <w:tc>
          <w:tcPr>
            <w:tcW w:type="dxa" w:w="1920"/>
            <w:tcMar>
              <w:top w:type="dxa" w:w="80"/>
              <w:left w:type="dxa" w:w="120"/>
              <w:bottom w:type="dxa" w:w="80"/>
              <w:right w:type="dxa" w:w="120"/>
            </w:tcMar>
          </w:tcPr>
          <w:p>
            <w:pPr>
              <w:spacing w:after="0" w:line="260"/>
              <w:jc w:val="right"/>
            </w:pPr>
            <w:r>
              <w:rPr>
                <w:rFonts w:ascii="Arial" w:cs="Arial" w:eastAsia="SimSun" w:hAnsi="Arial"/>
                <w:sz w:val="20"/>
                <w:szCs w:val="20"/>
              </w:rPr>
              <w:t xml:space="preserve">15.37亿美元</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0.4%</w:t>
            </w:r>
          </w:p>
        </w:tc>
        <w:tc>
          <w:tcPr>
            <w:tcW w:type="dxa" w:w="1680"/>
            <w:tcMar>
              <w:top w:type="dxa" w:w="80"/>
              <w:left w:type="dxa" w:w="120"/>
              <w:bottom w:type="dxa" w:w="80"/>
              <w:right w:type="dxa" w:w="120"/>
            </w:tcMar>
          </w:tcPr>
          <w:p>
            <w:pPr>
              <w:spacing w:after="0" w:line="260"/>
              <w:jc w:val="right"/>
            </w:pPr>
            <w:r>
              <w:rPr>
                <w:rFonts w:ascii="Arial" w:cs="Arial" w:eastAsia="SimSun" w:hAnsi="Arial"/>
                <w:sz w:val="20"/>
                <w:szCs w:val="20"/>
              </w:rPr>
              <w:t xml:space="preserve">19.5%</w:t>
            </w:r>
          </w:p>
        </w:tc>
      </w:tr>
    </w:tbl>
    <w:p>
      <w:pPr>
        <w:spacing w:after="200" w:before="80" w:line="260"/>
      </w:pPr>
      <w:r>
        <w:rPr>
          <w:rFonts w:ascii="Arial" w:cs="Arial" w:eastAsia="SimSun" w:hAnsi="Arial"/>
          <w:i/>
          <w:iCs/>
          <w:color w:val="555555"/>
          <w:sz w:val="18"/>
          <w:szCs w:val="18"/>
        </w:rPr>
        <w:t xml:space="preserve">资料来源：Alphabet FY2025年度10-K表，收入拆分附注。百分比以合并收入4,028.36亿美元为基数；已剔除套期保值损益，故该列合计不等于100%。</w:t>
      </w:r>
    </w:p>
    <w:p>
      <w:pPr>
        <w:spacing w:after="140" w:line="276"/>
      </w:pPr>
      <w:r>
        <w:rPr>
          <w:rFonts w:ascii="Arial" w:cs="Arial" w:eastAsia="SimSun" w:hAnsi="Arial"/>
          <w:sz w:val="22"/>
          <w:szCs w:val="22"/>
        </w:rPr>
        <w:t xml:space="preserve">搜索及其他就是这门生意本身。它是 google.com 上的查询，加上 Gmail、地图和 Play，而且是自有库存——Google 掌控着流量入口、拍卖机制和用户关系。Google Network 则恰恰相反：这是 Google 通过 AdSense、AdMob 和 Ad Manager 在别人的网站和应用上销售的广告。Network 的流量获取成本率高得多，因为大部分收入被直接支付给了发布商；而它已连续十六个季度下滑，从2021年第四季度93.05亿美元的峰值降至2026年第二季度的73.03亿美元，同期集团收入大致翻了一倍。</w:t>
      </w:r>
    </w:p>
    <w:p>
      <w:pPr>
        <w:spacing w:after="140" w:line="276"/>
      </w:pPr>
      <w:r>
        <w:rPr>
          <w:rFonts w:ascii="Arial" w:cs="Arial" w:eastAsia="SimSun" w:hAnsi="Arial"/>
          <w:sz w:val="22"/>
          <w:szCs w:val="22"/>
        </w:rPr>
        <w:t xml:space="preserve">这一下滑是整份披露中信息量最大的一行。正在萎缩的那部分业务，恰恰是 Alphabet 充当中间商而非主体的部分，也是低毛利的部分。过去三年 Services 利润率扩张中的一部分，仅仅是结构变化：更差的那门生意变小了。</w:t>
      </w:r>
    </w:p>
    <w:p>
      <w:pPr>
        <w:pStyle w:val="Heading2"/>
        <w:spacing w:after="180" w:before="180"/>
      </w:pPr>
      <w:r>
        <w:rPr>
          <w:rFonts w:ascii="Arial" w:cs="Arial" w:eastAsia="SimSun" w:hAnsi="Arial"/>
          <w:b/>
          <w:bCs/>
          <w:color w:val="1F3864"/>
          <w:sz w:val="28"/>
          <w:szCs w:val="28"/>
        </w:rPr>
        <w:t xml:space="preserve">云业务单位，以及一个新单位</w:t>
      </w:r>
    </w:p>
    <w:p>
      <w:pPr>
        <w:spacing w:after="140" w:line="276"/>
      </w:pPr>
      <w:r>
        <w:rPr>
          <w:rFonts w:ascii="Arial" w:cs="Arial" w:eastAsia="SimSun" w:hAnsi="Arial"/>
          <w:sz w:val="22"/>
          <w:szCs w:val="22"/>
        </w:rPr>
        <w:t xml:space="preserve">Google Cloud 出售三样东西：按用量计费的基础设施与人工智能平台服务、Workspace 订阅，以及自2026年第二季度起作为硬件出售的 TPU 系统。2026年第二季度10-Q表重写了收入确认政策，将“TPU 系统的销售”列为产品收入来源，存货从2025年12月的24.39亿美元升至2026年6月的99.91亿美元，其中67亿美元发生在第二季度。管理层表示，向客户数据中心的交付已在本季度开始，大部分收入将落在2027年。Alphabet 现在制造加速器不只是为了自用，也是为了出售。</w:t>
      </w:r>
    </w:p>
    <w:p>
      <w:pPr>
        <w:spacing w:after="140" w:line="276"/>
      </w:pPr>
      <w:r>
        <w:rPr>
          <w:rFonts w:ascii="Arial" w:cs="Arial" w:eastAsia="SimSun" w:hAnsi="Arial"/>
          <w:sz w:val="22"/>
          <w:szCs w:val="22"/>
        </w:rPr>
        <w:t xml:space="preserve">这里的单位是已签约的加速器机时而非一次点击，而且用量在事前就可见。截至2026年6月30日，收入积压达5,195亿美元，其中5,139亿美元属于 Google Cloud——约为该分部过去十二个月收入的6.6倍。</w:t>
      </w:r>
    </w:p>
    <w:p>
      <w:pPr>
        <w:pStyle w:val="Heading2"/>
        <w:spacing w:after="180" w:before="180"/>
      </w:pPr>
      <w:r>
        <w:rPr>
          <w:rFonts w:ascii="Arial" w:cs="Arial" w:eastAsia="SimSun" w:hAnsi="Arial"/>
          <w:b/>
          <w:bCs/>
          <w:color w:val="1F3864"/>
          <w:sz w:val="28"/>
          <w:szCs w:val="28"/>
        </w:rPr>
        <w:t xml:space="preserve">Other Bets，以及正在剥离的部分</w:t>
      </w:r>
    </w:p>
    <w:p>
      <w:pPr>
        <w:spacing w:after="140" w:line="276"/>
      </w:pPr>
      <w:r>
        <w:rPr>
          <w:rFonts w:ascii="Arial" w:cs="Arial" w:eastAsia="SimSun" w:hAnsi="Arial"/>
          <w:sz w:val="22"/>
          <w:szCs w:val="22"/>
        </w:rPr>
        <w:t xml:space="preserve">Other Bets 在2026年第二季度取得3.82亿美元收入，营业亏损17.99亿美元；FY2025全年亏损75.15亿美元，其中包含一笔21亿美元的 Waymo 估值型员工薪酬费用。Waymo 每周完全自动驾驶订单量已突破50万次，并于2026年2月完成160亿美元融资，其中绝大部分由 Alphabet 出资。Google Fiber 正被注入一家新实体，Alphabet 将获得15亿美元现金、一张20亿美元的应收票据和49.99%的股权，71亿美元资产已列为持有待售，预计2026年末完成交割。该分部正在收窄，聚焦于唯一一项具备可信规模化路径的资产。</w:t>
      </w:r>
    </w:p>
    <w:p>
      <w:pPr>
        <w:pStyle w:val="Heading1"/>
        <w:pageBreakBefore/>
        <w:spacing w:after="200" w:before="360"/>
      </w:pPr>
      <w:r>
        <w:rPr>
          <w:rFonts w:ascii="Arial" w:cs="Arial" w:eastAsia="SimSun" w:hAnsi="Arial"/>
          <w:b/>
          <w:bCs/>
          <w:color w:val="1F3864"/>
          <w:sz w:val="32"/>
          <w:szCs w:val="32"/>
        </w:rPr>
        <w:t xml:space="preserve">3.  行业、竞争地位与护城河</w:t>
      </w:r>
    </w:p>
    <w:p>
      <w:pPr>
        <w:spacing w:after="140" w:line="276"/>
      </w:pPr>
      <w:r>
        <w:rPr>
          <w:rFonts w:ascii="Arial" w:cs="Arial" w:eastAsia="SimSun" w:hAnsi="Arial"/>
          <w:sz w:val="22"/>
          <w:szCs w:val="22"/>
        </w:rPr>
        <w:t xml:space="preserve">Alphabet 身处两个结构迥异的行业，而它在两者中的位置正朝相反方向移动。</w:t>
      </w:r>
    </w:p>
    <w:p>
      <w:pPr>
        <w:pStyle w:val="Heading2"/>
        <w:spacing w:after="180" w:before="180"/>
      </w:pPr>
      <w:r>
        <w:rPr>
          <w:rFonts w:ascii="Arial" w:cs="Arial" w:eastAsia="SimSun" w:hAnsi="Arial"/>
          <w:b/>
          <w:bCs/>
          <w:color w:val="1F3864"/>
          <w:sz w:val="28"/>
          <w:szCs w:val="28"/>
        </w:rPr>
        <w:t xml:space="preserve">广告业：利润池归属于拥有入口的一方</w:t>
      </w:r>
    </w:p>
    <w:p>
      <w:pPr>
        <w:spacing w:after="140" w:line="276"/>
      </w:pPr>
      <w:r>
        <w:rPr>
          <w:rFonts w:ascii="Arial" w:cs="Arial" w:eastAsia="SimSun" w:hAnsi="Arial"/>
          <w:sz w:val="22"/>
          <w:szCs w:val="22"/>
        </w:rPr>
        <w:t xml:space="preserve">剔除美国政治广告后，全球广告收入预计2026年增长8.9%，达到1.3万亿美元，其中美国增长11.9%（WPP Media，《This Year Next Year》年中预测，2026年6月）。电通2025年12月的预测按更窄口径给出5.1%的增速；两者的分歧源于定义而非方向之争。WPP 认为，传统搜索与生成式搜索合计将占2026年全部广告收入的21.8%。</w:t>
      </w:r>
    </w:p>
    <w:p>
      <w:pPr>
        <w:spacing w:after="140" w:line="276"/>
      </w:pPr>
      <w:r>
        <w:rPr>
          <w:rFonts w:ascii="Arial" w:cs="Arial" w:eastAsia="SimSun" w:hAnsi="Arial"/>
          <w:sz w:val="22"/>
          <w:szCs w:val="22"/>
        </w:rPr>
        <w:t xml:space="preserve">该价值链的经济学很简单。利润归属于拥有购买意图表达入口的一方，而不是那些在不同入口之间搬运预算的中间商。Alphabet 自身的数字比任何行业研究都更能说明这一点：其自有入口在过去十二个月的分部营业利润率为41.9%，而其中间商业务正在萎缩。</w:t>
      </w:r>
    </w:p>
    <w:p>
      <w:pPr>
        <w:spacing w:after="140" w:line="276"/>
      </w:pPr>
      <w:r>
        <w:rPr>
          <w:rFonts w:ascii="Arial" w:cs="Arial" w:eastAsia="SimSun" w:hAnsi="Arial"/>
          <w:sz w:val="22"/>
          <w:szCs w:val="22"/>
        </w:rPr>
        <w:t xml:space="preserve">搜索业务的进入壁垒常在一个方向上被夸大，在另一个方向上被低估。广告主的转换成本几乎为零——媒介采购方可以在一天之内把预算在 Google、Meta 和亚马逊之间移动，申报文件中也没有任何内容表明并非如此。真正起约束作用的壁垒在用户一侧：一个基于每年超过五万亿次查询训练出来的点击相关性反馈闭环，新进入者无法从零启动，再加上通过 Android 和 Chrome 掌握的自有分发渠道。</w:t>
      </w:r>
    </w:p>
    <w:p>
      <w:pPr>
        <w:spacing w:after="140" w:line="276"/>
      </w:pPr>
      <w:r>
        <w:rPr>
          <w:rFonts w:ascii="Arial" w:cs="Arial" w:eastAsia="SimSun" w:hAnsi="Arial"/>
          <w:sz w:val="22"/>
          <w:szCs w:val="22"/>
        </w:rPr>
        <w:t xml:space="preserve">在规模上 Alphabet 仍无人能敌。其过去十二个月约3,150亿美元的广告收入，超过 Meta 的2,010亿美元与亚马逊的686亿美元广告收入之和。但两者增长更快：2026年上半年，亚马逊广告增长22.1%，Meta 增长22.2%，而 Alphabet 搜索及其他业务增长17.9%。Alphabet 正在一个不断扩大的数字广告池中失去份额。eMarketer 于2026年4月预测 Meta 将首次在数字广告收入上超过 Google，不过所用的是与上述总额口径不可比的净额口径。</w:t>
      </w:r>
    </w:p>
    <w:p>
      <w:pPr>
        <w:pStyle w:val="Heading2"/>
        <w:spacing w:after="180" w:before="180"/>
      </w:pPr>
      <w:r>
        <w:rPr>
          <w:rFonts w:ascii="Arial" w:cs="Arial" w:eastAsia="SimSun" w:hAnsi="Arial"/>
          <w:b/>
          <w:bCs/>
          <w:color w:val="1F3864"/>
          <w:sz w:val="28"/>
          <w:szCs w:val="28"/>
        </w:rPr>
        <w:t xml:space="preserve">云业务：规模第三，变化速度第一</w:t>
      </w:r>
    </w:p>
    <w:p>
      <w:pPr>
        <w:spacing w:after="140" w:line="276"/>
      </w:pPr>
      <w:r>
        <w:rPr>
          <w:rFonts w:ascii="Arial" w:cs="Arial" w:eastAsia="SimSun" w:hAnsi="Arial"/>
          <w:sz w:val="22"/>
          <w:szCs w:val="22"/>
        </w:rPr>
        <w:t xml:space="preserve">Synergy Research 数据显示，2026年第一季度企业云基础设施支出为1,290亿美元，同比增长35%，年化收入运行率首次突破5,000亿美元。份额方面，AWS 占28%，微软 Azure 占21%，Google Cloud 占14%，三巨头合计约占市场三分之二。其他追踪机构依方法论不同将 Google 置于11%至14%之间；排序本身没有争议。</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60"/>
        <w:gridCol w:w="1200"/>
        <w:gridCol w:w="1440"/>
        <w:gridCol w:w="1440"/>
        <w:gridCol w:w="1320"/>
        <w:gridCol w:w="1200"/>
      </w:tblGrid>
      <w:tr>
        <w:tc>
          <w:tcPr>
            <w:tcW w:type="dxa" w:w="27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超大规模云服务分部</w:t>
            </w:r>
          </w:p>
        </w:tc>
        <w:tc>
          <w:tcPr>
            <w:tcW w:type="dxa" w:w="120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期间</w:t>
            </w:r>
          </w:p>
        </w:tc>
        <w:tc>
          <w:tcPr>
            <w:tcW w:type="dxa" w:w="144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收入</w:t>
            </w:r>
          </w:p>
        </w:tc>
        <w:tc>
          <w:tcPr>
            <w:tcW w:type="dxa" w:w="144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营业利润</w:t>
            </w:r>
          </w:p>
        </w:tc>
        <w:tc>
          <w:tcPr>
            <w:tcW w:type="dxa" w:w="132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营业利润率</w:t>
            </w:r>
          </w:p>
        </w:tc>
        <w:tc>
          <w:tcPr>
            <w:tcW w:type="dxa" w:w="120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增速</w:t>
            </w:r>
          </w:p>
        </w:tc>
      </w:tr>
      <w:tr>
        <w:tc>
          <w:tcPr>
            <w:tcW w:type="dxa" w:w="2760"/>
            <w:tcMar>
              <w:top w:type="dxa" w:w="80"/>
              <w:left w:type="dxa" w:w="120"/>
              <w:bottom w:type="dxa" w:w="80"/>
              <w:right w:type="dxa" w:w="120"/>
            </w:tcMar>
          </w:tcPr>
          <w:p>
            <w:pPr>
              <w:spacing w:after="0" w:line="260"/>
              <w:jc w:val="left"/>
            </w:pPr>
            <w:r>
              <w:rPr>
                <w:rFonts w:ascii="Arial" w:cs="Arial" w:eastAsia="SimSun" w:hAnsi="Arial"/>
                <w:sz w:val="20"/>
                <w:szCs w:val="20"/>
              </w:rPr>
              <w:t xml:space="preserve">微软 Intelligent Cloud</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FY6/26</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1,378亿美元</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570亿美元</w:t>
            </w:r>
          </w:p>
        </w:tc>
        <w:tc>
          <w:tcPr>
            <w:tcW w:type="dxa" w:w="1320"/>
            <w:tcMar>
              <w:top w:type="dxa" w:w="80"/>
              <w:left w:type="dxa" w:w="120"/>
              <w:bottom w:type="dxa" w:w="80"/>
              <w:right w:type="dxa" w:w="120"/>
            </w:tcMar>
          </w:tcPr>
          <w:p>
            <w:pPr>
              <w:spacing w:after="0" w:line="260"/>
              <w:jc w:val="right"/>
            </w:pPr>
            <w:r>
              <w:rPr>
                <w:rFonts w:ascii="Arial" w:cs="Arial" w:eastAsia="SimSun" w:hAnsi="Arial"/>
                <w:sz w:val="20"/>
                <w:szCs w:val="20"/>
              </w:rPr>
              <w:t xml:space="preserve">41.3%</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+29.7%</w:t>
            </w:r>
          </w:p>
        </w:tc>
      </w:tr>
      <w:tr>
        <w:tc>
          <w:tcPr>
            <w:tcW w:type="dxa" w:w="2760"/>
            <w:tcMar>
              <w:top w:type="dxa" w:w="80"/>
              <w:left w:type="dxa" w:w="120"/>
              <w:bottom w:type="dxa" w:w="80"/>
              <w:right w:type="dxa" w:w="120"/>
            </w:tcMar>
          </w:tcPr>
          <w:p>
            <w:pPr>
              <w:spacing w:after="0" w:line="260"/>
              <w:jc w:val="left"/>
            </w:pPr>
            <w:r>
              <w:rPr>
                <w:rFonts w:ascii="Arial" w:cs="Arial" w:eastAsia="SimSun" w:hAnsi="Arial"/>
                <w:sz w:val="20"/>
                <w:szCs w:val="20"/>
              </w:rPr>
              <w:t xml:space="preserve">亚马逊 AWS</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FY12/25</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1,287亿美元</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456亿美元</w:t>
            </w:r>
          </w:p>
        </w:tc>
        <w:tc>
          <w:tcPr>
            <w:tcW w:type="dxa" w:w="1320"/>
            <w:tcMar>
              <w:top w:type="dxa" w:w="80"/>
              <w:left w:type="dxa" w:w="120"/>
              <w:bottom w:type="dxa" w:w="80"/>
              <w:right w:type="dxa" w:w="120"/>
            </w:tcMar>
          </w:tcPr>
          <w:p>
            <w:pPr>
              <w:spacing w:after="0" w:line="260"/>
              <w:jc w:val="right"/>
            </w:pPr>
            <w:r>
              <w:rPr>
                <w:rFonts w:ascii="Arial" w:cs="Arial" w:eastAsia="SimSun" w:hAnsi="Arial"/>
                <w:sz w:val="20"/>
                <w:szCs w:val="20"/>
              </w:rPr>
              <w:t xml:space="preserve">35.4%</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+19.7%</w:t>
            </w:r>
          </w:p>
        </w:tc>
      </w:tr>
      <w:tr>
        <w:tc>
          <w:tcPr>
            <w:tcW w:type="dxa" w:w="2760"/>
            <w:tcMar>
              <w:top w:type="dxa" w:w="80"/>
              <w:left w:type="dxa" w:w="120"/>
              <w:bottom w:type="dxa" w:w="80"/>
              <w:right w:type="dxa" w:w="120"/>
            </w:tcMar>
          </w:tcPr>
          <w:p>
            <w:pPr>
              <w:spacing w:after="0" w:line="260"/>
              <w:jc w:val="left"/>
            </w:pPr>
            <w:r>
              <w:rPr>
                <w:rFonts w:ascii="Arial" w:cs="Arial" w:eastAsia="SimSun" w:hAnsi="Arial"/>
                <w:sz w:val="20"/>
                <w:szCs w:val="20"/>
              </w:rPr>
              <w:t xml:space="preserve">Google Cloud</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LTM 6/26</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776亿美元</w:t>
            </w:r>
          </w:p>
        </w:tc>
        <w:tc>
          <w:tcPr>
            <w:tcW w:type="dxa" w:w="1440"/>
            <w:tcMar>
              <w:top w:type="dxa" w:w="80"/>
              <w:left w:type="dxa" w:w="120"/>
              <w:bottom w:type="dxa" w:w="80"/>
              <w:right w:type="dxa" w:w="120"/>
            </w:tcMar>
          </w:tcPr>
          <w:p>
            <w:pPr>
              <w:spacing w:after="0" w:line="260"/>
              <w:jc w:val="right"/>
            </w:pPr>
            <w:r>
              <w:rPr>
                <w:rFonts w:ascii="Arial" w:cs="Arial" w:eastAsia="SimSun" w:hAnsi="Arial"/>
                <w:sz w:val="20"/>
                <w:szCs w:val="20"/>
              </w:rPr>
              <w:t xml:space="preserve">243亿美元</w:t>
            </w:r>
          </w:p>
        </w:tc>
        <w:tc>
          <w:tcPr>
            <w:tcW w:type="dxa" w:w="1320"/>
            <w:tcMar>
              <w:top w:type="dxa" w:w="80"/>
              <w:left w:type="dxa" w:w="120"/>
              <w:bottom w:type="dxa" w:w="80"/>
              <w:right w:type="dxa" w:w="120"/>
            </w:tcMar>
          </w:tcPr>
          <w:p>
            <w:pPr>
              <w:spacing w:after="0" w:line="260"/>
              <w:jc w:val="right"/>
            </w:pPr>
            <w:r>
              <w:rPr>
                <w:rFonts w:ascii="Arial" w:cs="Arial" w:eastAsia="SimSun" w:hAnsi="Arial"/>
                <w:sz w:val="20"/>
                <w:szCs w:val="20"/>
              </w:rPr>
              <w:t xml:space="preserve">31.3%</w:t>
            </w:r>
          </w:p>
        </w:tc>
        <w:tc>
          <w:tcPr>
            <w:tcW w:type="dxa" w:w="1200"/>
            <w:tcMar>
              <w:top w:type="dxa" w:w="80"/>
              <w:left w:type="dxa" w:w="120"/>
              <w:bottom w:type="dxa" w:w="80"/>
              <w:right w:type="dxa" w:w="120"/>
            </w:tcMar>
          </w:tcPr>
          <w:p>
            <w:pPr>
              <w:spacing w:after="0" w:line="260"/>
              <w:jc w:val="right"/>
            </w:pPr>
            <w:r>
              <w:rPr>
                <w:rFonts w:ascii="Arial" w:cs="Arial" w:eastAsia="SimSun" w:hAnsi="Arial"/>
                <w:sz w:val="20"/>
                <w:szCs w:val="20"/>
              </w:rPr>
              <w:t xml:space="preserve">+73.2%</w:t>
            </w:r>
          </w:p>
        </w:tc>
      </w:tr>
    </w:tbl>
    <w:p>
      <w:pPr>
        <w:spacing w:after="200" w:before="80" w:line="260"/>
      </w:pPr>
      <w:r>
        <w:rPr>
          <w:rFonts w:ascii="Arial" w:cs="Arial" w:eastAsia="SimSun" w:hAnsi="Arial"/>
          <w:i/>
          <w:iCs/>
          <w:color w:val="555555"/>
          <w:sz w:val="18"/>
          <w:szCs w:val="18"/>
        </w:rPr>
        <w:t xml:space="preserve">资料来源：各公司自身申报文件——微软FY2026年6月止年度10-K表、亚马逊FY2025年度10-K表、Alphabet 2026年第二季度10-Q表。分部口径不同；微软的 Intelligent Cloud 还包含 Azure 之外的企业服务。</w:t>
      </w:r>
    </w:p>
    <w:p>
      <w:pPr>
        <w:spacing w:after="140" w:line="276"/>
      </w:pPr>
      <w:r>
        <w:rPr>
          <w:rFonts w:ascii="Arial" w:cs="Arial" w:eastAsia="SimSun" w:hAnsi="Arial"/>
          <w:sz w:val="22"/>
          <w:szCs w:val="22"/>
        </w:rPr>
        <w:t xml:space="preserve">Google Cloud 的规模是 AWS 的60%，增速约为其3.7倍，与 AWS 的利润率差距目前约为四个百分点且在收窄。这是整幅图景中最清晰的一项竞争事实，而且它是以竞争对手自身申报的数字衡量的，而非依据公司对自己的描述。</w:t>
      </w:r>
    </w:p>
    <w:p>
      <w:pPr>
        <w:pStyle w:val="Heading2"/>
        <w:spacing w:after="180" w:before="180"/>
      </w:pPr>
      <w:r>
        <w:rPr>
          <w:rFonts w:ascii="Arial" w:cs="Arial" w:eastAsia="SimSun" w:hAnsi="Arial"/>
          <w:b/>
          <w:bCs/>
          <w:color w:val="1F3864"/>
          <w:sz w:val="28"/>
          <w:szCs w:val="28"/>
        </w:rPr>
        <w:t xml:space="preserve">资金雄厚的对手最难复制的是什么</w:t>
      </w:r>
    </w:p>
    <w:p>
      <w:pPr>
        <w:spacing w:after="140" w:line="276"/>
      </w:pPr>
      <w:r>
        <w:rPr>
          <w:rFonts w:ascii="Arial" w:cs="Arial" w:eastAsia="SimSun" w:hAnsi="Arial"/>
          <w:sz w:val="22"/>
          <w:szCs w:val="22"/>
        </w:rPr>
        <w:t xml:space="preserve">不是模型，也不是数据中心。这两者都正在被资本复制。真正困难的是同时拥有全部四个层级——前沿模型、加速器、数据中心和电力——因为每多拥有一层，就同时消除了一份供应商利润和一条供应商排队。</w:t>
      </w:r>
    </w:p>
    <w:p>
      <w:pPr>
        <w:spacing w:after="140" w:line="276"/>
      </w:pPr>
      <w:r>
        <w:rPr>
          <w:rFonts w:ascii="Arial" w:cs="Arial" w:eastAsia="SimSun" w:hAnsi="Arial"/>
          <w:sz w:val="22"/>
          <w:szCs w:val="22"/>
        </w:rPr>
        <w:t xml:space="preserve">Alphabet 拥有 DeepMind 与 Gemini、TPU、自建数据中心，以及在2026年3月以59亿美元收购 Intersect 之后的一家可再生能源开发商。微软的前沿模型租自合作伙伴，芯片外购。亚马逊有自研芯片，但没有自己的前沿模型。Meta 有模型，却没有可用于销售模型的云业务。就现有证据而言，Alphabet 是四家中唯一同时拥有每一层的公司。</w:t>
      </w:r>
    </w:p>
    <w:p>
      <w:pPr>
        <w:spacing w:after="140" w:line="276"/>
      </w:pPr>
      <w:r>
        <w:rPr>
          <w:rFonts w:ascii="Arial" w:cs="Arial" w:eastAsia="SimSun" w:hAnsi="Arial"/>
          <w:sz w:val="22"/>
          <w:szCs w:val="22"/>
        </w:rPr>
        <w:t xml:space="preserve">这个行业恰恰奖励这一点。在加速器、电网接入和土地——而非软件、也非需求——构成硬约束的环境中，赢家是那家在客户工作负载与一个电子之间消除了最多中间环节的公司。Alphabet 自身的行动印证了它认为哪一项约束真正起作用：它收购了一家电力开发商，签署了带照付不议下限、期限延至2054年的能源合同，并为第三方数据中心开发商提供了名义金额438亿美元的信用衍生品背书。</w:t>
      </w:r>
    </w:p>
    <w:p>
      <w:pPr>
        <w:pStyle w:val="Heading2"/>
        <w:spacing w:after="180" w:before="180"/>
      </w:pPr>
      <w:r>
        <w:rPr>
          <w:rFonts w:ascii="Arial" w:cs="Arial" w:eastAsia="SimSun" w:hAnsi="Arial"/>
          <w:b/>
          <w:bCs/>
          <w:color w:val="1F3864"/>
          <w:sz w:val="28"/>
          <w:szCs w:val="28"/>
        </w:rPr>
        <w:t xml:space="preserve">用外部证据检验公司的说法</w:t>
      </w:r>
    </w:p>
    <w:p>
      <w:pPr>
        <w:pStyle w:val="ListParagraph"/>
        <w:numPr>
          <w:ilvl w:val="0"/>
          <w:numId w:val="2"/>
        </w:numPr>
        <w:spacing w:after="120" w:line="276"/>
      </w:pPr>
      <w:r>
        <w:rPr>
          <w:rFonts w:ascii="Arial" w:cs="Arial" w:eastAsia="SimSun" w:hAnsi="Arial"/>
          <w:b/>
          <w:bCs/>
          <w:sz w:val="22"/>
          <w:szCs w:val="22"/>
        </w:rPr>
        <w:t xml:space="preserve">说法：人工智能未蚕食搜索——部分成立。</w:t>
      </w:r>
      <w:r>
        <w:rPr>
          <w:rFonts w:ascii="Arial" w:cs="Arial" w:eastAsia="SimSun" w:hAnsi="Arial"/>
          <w:sz w:val="22"/>
          <w:szCs w:val="22"/>
        </w:rPr>
        <w:t xml:space="preserve">Alphabet 自身付费点击在2026年第二季度增长13%，StatCounter 显示 Google 约占传统搜索的89%–90%，低于2023年的约91%，这两项支持该说法。但皮尤研究中心的点击流数据显示，在没有人工智能摘要的访问中用户点击结果的比例为15%，有摘要时仅为8%；苹果亦于2025年5月作证称 Safari 搜索量二十二年来首次下降。查询是安全的；点击才是暴露的变量。管理层的措辞也已软化：从2025年中的以“大致相同的费率”变现，到2026年第二季度的“对变现表现感到鼓舞”，不再附带同等费率的表述。</w:t>
      </w:r>
    </w:p>
    <w:p>
      <w:pPr>
        <w:pStyle w:val="ListParagraph"/>
        <w:numPr>
          <w:ilvl w:val="0"/>
          <w:numId w:val="2"/>
        </w:numPr>
        <w:spacing w:after="120" w:line="276"/>
      </w:pPr>
      <w:r>
        <w:rPr>
          <w:rFonts w:ascii="Arial" w:cs="Arial" w:eastAsia="SimSun" w:hAnsi="Arial"/>
          <w:b/>
          <w:bCs/>
          <w:sz w:val="22"/>
          <w:szCs w:val="22"/>
        </w:rPr>
        <w:t xml:space="preserve">说法：在云业务中具备差异化的全栈地位——成立。</w:t>
      </w:r>
      <w:r>
        <w:rPr>
          <w:rFonts w:ascii="Arial" w:cs="Arial" w:eastAsia="SimSun" w:hAnsi="Arial"/>
          <w:sz w:val="22"/>
          <w:szCs w:val="22"/>
        </w:rPr>
        <w:t xml:space="preserve">按份额排名第三，但增速为 AWS 的3.7倍，利润率差距在四个百分点以内，依据是竞争对手自身的数字。</w:t>
      </w:r>
    </w:p>
    <w:p>
      <w:pPr>
        <w:pStyle w:val="ListParagraph"/>
        <w:numPr>
          <w:ilvl w:val="0"/>
          <w:numId w:val="2"/>
        </w:numPr>
        <w:spacing w:after="120" w:line="276"/>
      </w:pPr>
      <w:r>
        <w:rPr>
          <w:rFonts w:ascii="Arial" w:cs="Arial" w:eastAsia="SimSun" w:hAnsi="Arial"/>
          <w:b/>
          <w:bCs/>
          <w:sz w:val="22"/>
          <w:szCs w:val="22"/>
        </w:rPr>
        <w:t xml:space="preserve">说法：需求超过供给——成立。</w:t>
      </w:r>
      <w:r>
        <w:rPr>
          <w:rFonts w:ascii="Arial" w:cs="Arial" w:eastAsia="SimSun" w:hAnsi="Arial"/>
          <w:sz w:val="22"/>
          <w:szCs w:val="22"/>
        </w:rPr>
        <w:t xml:space="preserve">收入积压序列与管理层反复表示算力受限，都是不利于自身的披露，而非营销话术。Pichai 在2026年第一季度电话会上表示：若能满足需求，云业务收入本会更高。</w:t>
      </w:r>
    </w:p>
    <w:p>
      <w:pPr>
        <w:pStyle w:val="ListParagraph"/>
        <w:numPr>
          <w:ilvl w:val="0"/>
          <w:numId w:val="2"/>
        </w:numPr>
        <w:spacing w:after="120" w:line="276"/>
      </w:pPr>
      <w:r>
        <w:rPr>
          <w:rFonts w:ascii="Arial" w:cs="Arial" w:eastAsia="SimSun" w:hAnsi="Arial"/>
          <w:b/>
          <w:bCs/>
          <w:sz w:val="22"/>
          <w:szCs w:val="22"/>
        </w:rPr>
        <w:t xml:space="preserve">说法：广告地位不可撼动——在边际上被证伪。</w:t>
      </w:r>
      <w:r>
        <w:rPr>
          <w:rFonts w:ascii="Arial" w:cs="Arial" w:eastAsia="SimSun" w:hAnsi="Arial"/>
          <w:sz w:val="22"/>
          <w:szCs w:val="22"/>
        </w:rPr>
        <w:t xml:space="preserve">Alphabet 的广告收入超过 Meta 与亚马逊之和，且仍以十几个百分点的速度增长，但在最近的可比期间两家对手增长更快。</w:t>
      </w:r>
    </w:p>
    <w:p>
      <w:pPr>
        <w:pStyle w:val="Heading2"/>
        <w:spacing w:after="180" w:before="180"/>
      </w:pPr>
      <w:r>
        <w:rPr>
          <w:rFonts w:ascii="Arial" w:cs="Arial" w:eastAsia="SimSun" w:hAnsi="Arial"/>
          <w:b/>
          <w:bCs/>
          <w:color w:val="1F3864"/>
          <w:sz w:val="28"/>
          <w:szCs w:val="28"/>
        </w:rPr>
        <w:t xml:space="preserve">监管如何塑造这条护城河</w:t>
      </w:r>
    </w:p>
    <w:p>
      <w:pPr>
        <w:spacing w:after="140" w:line="276"/>
      </w:pPr>
      <w:r>
        <w:rPr>
          <w:rFonts w:ascii="Arial" w:cs="Arial" w:eastAsia="SimSun" w:hAnsi="Arial"/>
          <w:sz w:val="22"/>
          <w:szCs w:val="22"/>
        </w:rPr>
        <w:t xml:space="preserve">Mehta 法官2025年9月2日的救济裁定，于2025年12月5日作为终局判决作出并自2026年2月起部分生效，其范围明显窄于司法部的诉求。Alphabet 无需剥离 Chrome 或 Android；法院认定原告的诉求过度。关键在于，Google 仍可为预装位置付费——支付给苹果、三星和运营商的款项得以继续。它不得做的是：就搜索、Chrome、Assistant 或 Gemini 签订排他性默认协议，或以超过一年为期将收入分成条件与预装位置挂钩。它还必须向合格竞争者许可特定搜索索引和用户交互数据并提供联合供给，但不包括广告数据。救济期限为六年，由技术委员会监督。双方均已上诉至哥伦比亚特区巡回上诉法院，截至2026年8月末仍在提交书面意见。</w:t>
      </w:r>
    </w:p>
    <w:p>
      <w:pPr>
        <w:spacing w:after="140" w:line="276"/>
      </w:pPr>
      <w:r>
        <w:rPr>
          <w:rFonts w:ascii="Arial" w:cs="Arial" w:eastAsia="SimSun" w:hAnsi="Arial"/>
          <w:sz w:val="22"/>
          <w:szCs w:val="22"/>
        </w:rPr>
        <w:t xml:space="preserve">对护城河的实际影响小于标题所示。法院移除的机制是排他性；而真正维系其地位的机制——用户在被给予选择时仍然选择 Google——未被触及。欧洲的选择屏幕先例是相关证据：约97%的用户仍然选择了 Google。可能削弱这一地位的不是这份判决，而是尚未裁决的广告技术案件，该案在第7节讨论。</w:t>
      </w:r>
    </w:p>
    <w:p>
      <w:pPr>
        <w:pStyle w:val="Heading1"/>
        <w:pageBreakBefore/>
        <w:spacing w:after="200" w:before="360"/>
      </w:pPr>
      <w:r>
        <w:rPr>
          <w:rFonts w:ascii="Arial" w:cs="Arial" w:eastAsia="SimSun" w:hAnsi="Arial"/>
          <w:b/>
          <w:bCs/>
          <w:color w:val="1F3864"/>
          <w:sz w:val="32"/>
          <w:szCs w:val="32"/>
        </w:rPr>
        <w:t xml:space="preserve">4.  增长引擎</w:t>
      </w:r>
    </w:p>
    <w:p>
      <w:pPr>
        <w:spacing w:after="140" w:line="276"/>
      </w:pPr>
      <w:r>
        <w:rPr>
          <w:rFonts w:ascii="Arial" w:cs="Arial" w:eastAsia="SimSun" w:hAnsi="Arial"/>
          <w:sz w:val="22"/>
          <w:szCs w:val="22"/>
        </w:rPr>
        <w:t xml:space="preserve">Alphabet 在2026年第二季度同比增长24%，为连续第十二个季度实现两位数增长，也是2021年以来最快的增速。收入较2025年同期增加234亿美元。这笔钱从哪里来，比总量本身更重要，因为四项贡献中有两项是结构性的，还有一项正在萎缩。</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20"/>
        <w:gridCol w:w="1560"/>
        <w:gridCol w:w="1560"/>
        <w:gridCol w:w="1560"/>
        <w:gridCol w:w="1560"/>
      </w:tblGrid>
      <w:tr>
        <w:tc>
          <w:tcPr>
            <w:tcW w:type="dxa" w:w="312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贡献来源</w:t>
            </w:r>
          </w:p>
        </w:tc>
        <w:tc>
          <w:tcPr>
            <w:tcW w:type="dxa" w:w="15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2025年Q2</w:t>
            </w:r>
          </w:p>
        </w:tc>
        <w:tc>
          <w:tcPr>
            <w:tcW w:type="dxa" w:w="15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2026年Q2</w:t>
            </w:r>
          </w:p>
        </w:tc>
        <w:tc>
          <w:tcPr>
            <w:tcW w:type="dxa" w:w="15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变动</w:t>
            </w:r>
          </w:p>
        </w:tc>
        <w:tc>
          <w:tcPr>
            <w:tcW w:type="dxa" w:w="15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占增量比重</w:t>
            </w:r>
          </w:p>
        </w:tc>
      </w:tr>
      <w:tr>
        <w:tc>
          <w:tcPr>
            <w:tcW w:type="dxa" w:w="3120"/>
            <w:tcMar>
              <w:top w:type="dxa" w:w="80"/>
              <w:left w:type="dxa" w:w="120"/>
              <w:bottom w:type="dxa" w:w="80"/>
              <w:right w:type="dxa" w:w="120"/>
            </w:tcMar>
          </w:tcPr>
          <w:p>
            <w:pPr>
              <w:spacing w:after="0" w:line="260"/>
              <w:jc w:val="left"/>
            </w:pPr>
            <w:r>
              <w:rPr>
                <w:rFonts w:ascii="Arial" w:cs="Arial" w:eastAsia="SimSun" w:hAnsi="Arial"/>
                <w:sz w:val="20"/>
                <w:szCs w:val="20"/>
              </w:rPr>
              <w:t xml:space="preserve">Google Cloud</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136.24</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247.68</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+111.44</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48%</w:t>
            </w:r>
          </w:p>
        </w:tc>
      </w:tr>
      <w:tr>
        <w:tc>
          <w:tcPr>
            <w:tcW w:type="dxa" w:w="3120"/>
            <w:tcMar>
              <w:top w:type="dxa" w:w="80"/>
              <w:left w:type="dxa" w:w="120"/>
              <w:bottom w:type="dxa" w:w="80"/>
              <w:right w:type="dxa" w:w="120"/>
            </w:tcMar>
          </w:tcPr>
          <w:p>
            <w:pPr>
              <w:spacing w:after="0" w:line="260"/>
              <w:jc w:val="left"/>
            </w:pPr>
            <w:r>
              <w:rPr>
                <w:rFonts w:ascii="Arial" w:cs="Arial" w:eastAsia="SimSun" w:hAnsi="Arial"/>
                <w:sz w:val="20"/>
                <w:szCs w:val="20"/>
              </w:rPr>
              <w:t xml:space="preserve">Google 搜索及其他</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541.90</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632.71</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+90.81</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39%</w:t>
            </w:r>
          </w:p>
        </w:tc>
      </w:tr>
      <w:tr>
        <w:tc>
          <w:tcPr>
            <w:tcW w:type="dxa" w:w="3120"/>
            <w:tcMar>
              <w:top w:type="dxa" w:w="80"/>
              <w:left w:type="dxa" w:w="120"/>
              <w:bottom w:type="dxa" w:w="80"/>
              <w:right w:type="dxa" w:w="120"/>
            </w:tcMar>
          </w:tcPr>
          <w:p>
            <w:pPr>
              <w:spacing w:after="0" w:line="260"/>
              <w:jc w:val="left"/>
            </w:pPr>
            <w:r>
              <w:rPr>
                <w:rFonts w:ascii="Arial" w:cs="Arial" w:eastAsia="SimSun" w:hAnsi="Arial"/>
                <w:sz w:val="20"/>
                <w:szCs w:val="20"/>
              </w:rPr>
              <w:t xml:space="preserve">订阅、平台与设备</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112.03</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129.11</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+17.08</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7%</w:t>
            </w:r>
          </w:p>
        </w:tc>
      </w:tr>
      <w:tr>
        <w:tc>
          <w:tcPr>
            <w:tcW w:type="dxa" w:w="3120"/>
            <w:tcMar>
              <w:top w:type="dxa" w:w="80"/>
              <w:left w:type="dxa" w:w="120"/>
              <w:bottom w:type="dxa" w:w="80"/>
              <w:right w:type="dxa" w:w="120"/>
            </w:tcMar>
          </w:tcPr>
          <w:p>
            <w:pPr>
              <w:spacing w:after="0" w:line="260"/>
              <w:jc w:val="left"/>
            </w:pPr>
            <w:r>
              <w:rPr>
                <w:rFonts w:ascii="Arial" w:cs="Arial" w:eastAsia="SimSun" w:hAnsi="Arial"/>
                <w:sz w:val="20"/>
                <w:szCs w:val="20"/>
              </w:rPr>
              <w:t xml:space="preserve">YouTube 广告</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97.96</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110.55</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+12.59</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5%</w:t>
            </w:r>
          </w:p>
        </w:tc>
      </w:tr>
      <w:tr>
        <w:tc>
          <w:tcPr>
            <w:tcW w:type="dxa" w:w="3120"/>
            <w:tcMar>
              <w:top w:type="dxa" w:w="80"/>
              <w:left w:type="dxa" w:w="120"/>
              <w:bottom w:type="dxa" w:w="80"/>
              <w:right w:type="dxa" w:w="120"/>
            </w:tcMar>
          </w:tcPr>
          <w:p>
            <w:pPr>
              <w:spacing w:after="0" w:line="260"/>
              <w:jc w:val="left"/>
            </w:pPr>
            <w:r>
              <w:rPr>
                <w:rFonts w:ascii="Arial" w:cs="Arial" w:eastAsia="SimSun" w:hAnsi="Arial"/>
                <w:sz w:val="20"/>
                <w:szCs w:val="20"/>
              </w:rPr>
              <w:t xml:space="preserve">Google Network</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73.54</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73.03</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(0.51)</w:t>
            </w:r>
          </w:p>
        </w:tc>
        <w:tc>
          <w:tcPr>
            <w:tcW w:type="dxa" w:w="1560"/>
            <w:tcMar>
              <w:top w:type="dxa" w:w="80"/>
              <w:left w:type="dxa" w:w="120"/>
              <w:bottom w:type="dxa" w:w="80"/>
              <w:right w:type="dxa" w:w="120"/>
            </w:tcMar>
          </w:tcPr>
          <w:p>
            <w:pPr>
              <w:spacing w:after="0" w:line="260"/>
              <w:jc w:val="right"/>
            </w:pPr>
            <w:r>
              <w:rPr>
                <w:rFonts w:ascii="Arial" w:cs="Arial" w:eastAsia="SimSun" w:hAnsi="Arial"/>
                <w:sz w:val="20"/>
                <w:szCs w:val="20"/>
              </w:rPr>
              <w:t xml:space="preserve">(0.2%)</w:t>
            </w:r>
          </w:p>
        </w:tc>
      </w:tr>
    </w:tbl>
    <w:p>
      <w:pPr>
        <w:spacing w:after="200" w:before="80" w:line="260"/>
      </w:pPr>
      <w:r>
        <w:rPr>
          <w:rFonts w:ascii="Arial" w:cs="Arial" w:eastAsia="SimSun" w:hAnsi="Arial"/>
          <w:i/>
          <w:iCs/>
          <w:color w:val="555555"/>
          <w:sz w:val="18"/>
          <w:szCs w:val="18"/>
        </w:rPr>
        <w:t xml:space="preserve">单位：亿美元。资料来源：Alphabet 截至2026年6月30日季度的10-Q表，收入拆分附注。占比按上述五条业务线233.68亿美元的合计增量计算，不含 Other Bets 与套期保值。</w:t>
      </w:r>
    </w:p>
    <w:p>
      <w:pPr>
        <w:pStyle w:val="Heading2"/>
        <w:spacing w:after="180" w:before="180"/>
      </w:pPr>
      <w:r>
        <w:rPr>
          <w:rFonts w:ascii="Arial" w:cs="Arial" w:eastAsia="SimSun" w:hAnsi="Arial"/>
          <w:b/>
          <w:bCs/>
          <w:color w:val="1F3864"/>
          <w:sz w:val="28"/>
          <w:szCs w:val="28"/>
        </w:rPr>
        <w:t xml:space="preserve">报告增速与内生增速</w:t>
      </w:r>
    </w:p>
    <w:p>
      <w:pPr>
        <w:spacing w:after="140" w:line="276"/>
      </w:pPr>
      <w:r>
        <w:rPr>
          <w:rFonts w:ascii="Arial" w:cs="Arial" w:eastAsia="SimSun" w:hAnsi="Arial"/>
          <w:sz w:val="22"/>
          <w:szCs w:val="22"/>
        </w:rPr>
        <w:t xml:space="preserve">两笔收购于2026年3月完成，均已计入报告增速，因此总量需要拆分。Wiz 以294.67亿美元收购，自3月11日起并入 Google Cloud；据媒体报道其在交割前年度经常性收入已突破10亿美元——该数字未在 Alphabet 申报文件中披露。按每季度约2.5亿至3亿美元计算，它约占云业务82%增速中的两到三个百分点，意味着内生云增速约在79%至80%（推算）。Intersect 增加的是发电产能和固定资产，而非收入。在集团层面，这些收购对24%增速的贡献远低于一个百分点。这压倒性地是一个长出来的数字，而不是买来的数字——但 Alphabet 并未拆分其贡献，因此该拆分是估算而非披露。</w:t>
      </w:r>
    </w:p>
    <w:p>
      <w:pPr>
        <w:pStyle w:val="Heading2"/>
        <w:spacing w:after="180" w:before="180"/>
      </w:pPr>
      <w:r>
        <w:rPr>
          <w:rFonts w:ascii="Arial" w:cs="Arial" w:eastAsia="SimSun" w:hAnsi="Arial"/>
          <w:b/>
          <w:bCs/>
          <w:color w:val="1F3864"/>
          <w:sz w:val="28"/>
          <w:szCs w:val="28"/>
        </w:rPr>
        <w:t xml:space="preserve">增长驱动因素排序</w:t>
      </w:r>
    </w:p>
    <w:p>
      <w:pPr>
        <w:pStyle w:val="ListParagraph"/>
        <w:numPr>
          <w:ilvl w:val="0"/>
          <w:numId w:val="2"/>
        </w:numPr>
        <w:spacing w:after="120" w:line="276"/>
      </w:pPr>
      <w:r>
        <w:rPr>
          <w:rFonts w:ascii="Arial" w:cs="Arial" w:eastAsia="SimSun" w:hAnsi="Arial"/>
          <w:b/>
          <w:bCs/>
          <w:sz w:val="22"/>
          <w:szCs w:val="22"/>
        </w:rPr>
        <w:t xml:space="preserve">云业务收入积压转化——结构性。</w:t>
      </w:r>
      <w:r>
        <w:rPr>
          <w:rFonts w:ascii="Arial" w:cs="Arial" w:eastAsia="SimSun" w:hAnsi="Arial"/>
          <w:sz w:val="22"/>
          <w:szCs w:val="22"/>
        </w:rPr>
        <w:t xml:space="preserve">Google Cloud 是最大的单一贡献来源，也是变化最快的。增速从2025年第二季度的32%升至2025年第四季度的48%，再到2026年第二季度的82%，收入积压则从一年前的1,082亿美元升至5,139亿美元。由于积压已签约，按管理层指引其中约一半将在24个月内转化为收入，这意味着近期的云业务增长在很大程度上已经卖出去了。约束在于交付，而非需求。</w:t>
      </w:r>
    </w:p>
    <w:p>
      <w:pPr>
        <w:pStyle w:val="ListParagraph"/>
        <w:numPr>
          <w:ilvl w:val="0"/>
          <w:numId w:val="2"/>
        </w:numPr>
        <w:spacing w:after="120" w:line="276"/>
      </w:pPr>
      <w:r>
        <w:rPr>
          <w:rFonts w:ascii="Arial" w:cs="Arial" w:eastAsia="SimSun" w:hAnsi="Arial"/>
          <w:b/>
          <w:bCs/>
          <w:sz w:val="22"/>
          <w:szCs w:val="22"/>
        </w:rPr>
        <w:t xml:space="preserve">搜索查询量——结构性。</w:t>
      </w:r>
      <w:r>
        <w:rPr>
          <w:rFonts w:ascii="Arial" w:cs="Arial" w:eastAsia="SimSun" w:hAnsi="Arial"/>
          <w:sz w:val="22"/>
          <w:szCs w:val="22"/>
        </w:rPr>
        <w:t xml:space="preserve">搜索业务在2026年第二季度增长17%，其中付费点击增长13%、单次点击成本增长3%。这是一个带有温和价格尾巴的量增故事，也是两种组合中更健康的一种：它意味着更多查询正在被变现，而不是既有查询被重新定价。这同时也是空头论点认为本应已经失效的驱动因素，而它并没有失效。</w:t>
      </w:r>
    </w:p>
    <w:p>
      <w:pPr>
        <w:pStyle w:val="ListParagraph"/>
        <w:numPr>
          <w:ilvl w:val="0"/>
          <w:numId w:val="2"/>
        </w:numPr>
        <w:spacing w:after="120" w:line="276"/>
      </w:pPr>
      <w:r>
        <w:rPr>
          <w:rFonts w:ascii="Arial" w:cs="Arial" w:eastAsia="SimSun" w:hAnsi="Arial"/>
          <w:b/>
          <w:bCs/>
          <w:sz w:val="22"/>
          <w:szCs w:val="22"/>
        </w:rPr>
        <w:t xml:space="preserve">美国地域集中度——周期性。</w:t>
      </w:r>
      <w:r>
        <w:rPr>
          <w:rFonts w:ascii="Arial" w:cs="Arial" w:eastAsia="SimSun" w:hAnsi="Arial"/>
          <w:sz w:val="22"/>
          <w:szCs w:val="22"/>
        </w:rPr>
        <w:t xml:space="preserve">美国在2026年第二季度贡献了全部同比收入增量的约63%，并首次超过集团收入的50%。美国增速从一年前的11.8%升至32.1%，而欧洲中东非洲地区从21.4%的峰值减速至15.0%。这种集中是真实的，而且部分是循环的：大量增量美国需求本身来自人工智能行业的资本开支，其资金正来自 Alphabet 所服务的同一轮周期。</w:t>
      </w:r>
    </w:p>
    <w:p>
      <w:pPr>
        <w:pStyle w:val="ListParagraph"/>
        <w:numPr>
          <w:ilvl w:val="0"/>
          <w:numId w:val="2"/>
        </w:numPr>
        <w:spacing w:after="120" w:line="276"/>
      </w:pPr>
      <w:r>
        <w:rPr>
          <w:rFonts w:ascii="Arial" w:cs="Arial" w:eastAsia="SimSun" w:hAnsi="Arial"/>
          <w:b/>
          <w:bCs/>
          <w:sz w:val="22"/>
          <w:szCs w:val="22"/>
        </w:rPr>
        <w:t xml:space="preserve">消费者订阅——管理层驱动。</w:t>
      </w:r>
      <w:r>
        <w:rPr>
          <w:rFonts w:ascii="Arial" w:cs="Arial" w:eastAsia="SimSun" w:hAnsi="Arial"/>
          <w:sz w:val="22"/>
          <w:szCs w:val="22"/>
        </w:rPr>
        <w:t xml:space="preserve">付费订阅数在2026年第一季度达到3.5亿，高于2025年末的3.25亿，主要由 Google One 和 YouTube Premium 带动；FY2025 YouTube 广告与订阅合计收入突破600亿美元。这是公司内最可预测、也最少被讨论的一条业务线。</w:t>
      </w:r>
    </w:p>
    <w:p>
      <w:pPr>
        <w:pStyle w:val="ListParagraph"/>
        <w:numPr>
          <w:ilvl w:val="0"/>
          <w:numId w:val="2"/>
        </w:numPr>
        <w:spacing w:after="120" w:line="276"/>
      </w:pPr>
      <w:r>
        <w:rPr>
          <w:rFonts w:ascii="Arial" w:cs="Arial" w:eastAsia="SimSun" w:hAnsi="Arial"/>
          <w:b/>
          <w:bCs/>
          <w:sz w:val="22"/>
          <w:szCs w:val="22"/>
        </w:rPr>
        <w:t xml:space="preserve">TPU 系统对外销售——管理层驱动，尚未显现。</w:t>
      </w:r>
      <w:r>
        <w:rPr>
          <w:rFonts w:ascii="Arial" w:cs="Arial" w:eastAsia="SimSun" w:hAnsi="Arial"/>
          <w:sz w:val="22"/>
          <w:szCs w:val="22"/>
        </w:rPr>
        <w:t xml:space="preserve">首批交付发生在2026年第二季度，管理层预计大部分收入落在2027年，因此这项驱动几乎完全不体现在当前数字中。存货六个月内从24亿美元增至100亿美元，是其领先指标。利润率被明确拒绝披露：“我们不单独披露任何具体产品的利润率。”</w:t>
      </w:r>
    </w:p>
    <w:p>
      <w:pPr>
        <w:pStyle w:val="Heading1"/>
        <w:pageBreakBefore/>
        <w:spacing w:after="200" w:before="360"/>
      </w:pPr>
      <w:r>
        <w:rPr>
          <w:rFonts w:ascii="Arial" w:cs="Arial" w:eastAsia="SimSun" w:hAnsi="Arial"/>
          <w:b/>
          <w:bCs/>
          <w:color w:val="1F3864"/>
          <w:sz w:val="32"/>
          <w:szCs w:val="32"/>
        </w:rPr>
        <w:t xml:space="preserve">5.  利润率、现金与资本配置</w:t>
      </w:r>
    </w:p>
    <w:p>
      <w:pPr>
        <w:pStyle w:val="Heading2"/>
        <w:spacing w:after="180" w:before="180"/>
      </w:pPr>
      <w:r>
        <w:rPr>
          <w:rFonts w:ascii="Arial" w:cs="Arial" w:eastAsia="SimSun" w:hAnsi="Arial"/>
          <w:b/>
          <w:bCs/>
          <w:color w:val="1F3864"/>
          <w:sz w:val="28"/>
          <w:szCs w:val="28"/>
        </w:rPr>
        <w:t xml:space="preserve">利润率是如何形成的</w:t>
      </w:r>
    </w:p>
    <w:p>
      <w:pPr>
        <w:spacing w:after="140" w:line="276"/>
      </w:pPr>
      <w:r>
        <w:rPr>
          <w:rFonts w:ascii="Arial" w:cs="Arial" w:eastAsia="SimSun" w:hAnsi="Arial"/>
          <w:sz w:val="22"/>
          <w:szCs w:val="22"/>
        </w:rPr>
        <w:t xml:space="preserve">Alphabet 2026年第二季度34.0%的合并营业利润率，是三样截然不同的东西的平均值。Google Services 以945.40亿美元收入取得395.44亿美元营业利润，利润率41.8%。Google Cloud 以247.68亿美元收入取得88.14亿美元营业利润，利润率35.6%，高于上年同期的20.7%。Other Bets 亏损17.99亿美元。</w:t>
      </w:r>
    </w:p>
    <w:p>
      <w:pPr>
        <w:spacing w:after="140" w:line="276"/>
      </w:pPr>
      <w:r>
        <w:rPr>
          <w:rFonts w:ascii="Arial" w:cs="Arial" w:eastAsia="SimSun" w:hAnsi="Arial"/>
          <w:sz w:val="22"/>
          <w:szCs w:val="22"/>
        </w:rPr>
        <w:t xml:space="preserve">与上述三者相抵的，是本季度57.89亿美元的未分摊 Alphabet 层级成本，申报文件将其描述为共享的人工智能研发加上公司层面的罚款与和解。该项目已从FY2022全年的12.99亿美元增至FY2025的167.60亿美元，仅2026年上半年就达111.78亿美元。这是前沿模型开发在进入资本开支之前先冲击损益表的地方，而它之所以不分摊，恰恰是因为没有任何一个分部能够被要求承担它。</w:t>
      </w:r>
    </w:p>
    <w:p>
      <w:pPr>
        <w:spacing w:after="140" w:line="276"/>
      </w:pPr>
      <w:r>
        <w:rPr>
          <w:rFonts w:ascii="Arial" w:cs="Arial" w:eastAsia="SimSun" w:hAnsi="Arial"/>
          <w:sz w:val="22"/>
          <w:szCs w:val="22"/>
        </w:rPr>
        <w:t xml:space="preserve">两个分部在完整记录中沿相反方向行进。Google Cloud 的营业利润率在FY2021为(11.9%)，FY2022为(7.3%)，FY2023为5.2%，FY2024为14.1%，FY2025为23.7%，随后在过去十二个月达到31.3%。同期六个期间的 Google Services 则为37.1%、32.6%、35.2%、39.8%、40.7%和41.9%。一门生意找到了底部并攀升了43个百分点；另一门则穿过2022年广告低谷后回升至新高。</w:t>
      </w:r>
    </w:p>
    <w:p>
      <w:pPr>
        <w:spacing w:after="140" w:line="276"/>
      </w:pPr>
      <w:r>
        <w:rPr>
          <w:rFonts w:ascii="Arial" w:cs="Arial" w:eastAsia="SimSun" w:hAnsi="Arial"/>
          <w:sz w:val="22"/>
          <w:szCs w:val="22"/>
        </w:rPr>
        <w:t xml:space="preserve">云业务利润率扩张是这门生意中经营杠杆最清晰的证据。2026年上半年，该分部在189亿美元的增量收入上增加了104亿美元营业利润，增量利润率约为55%。管理层已提示一项抵消因素：在自建产能落地前租用第三方产能作为过渡，“将对云业务的营业利润率形成一定压力”。</w:t>
      </w:r>
    </w:p>
    <w:p>
      <w:pPr>
        <w:spacing w:after="140" w:line="276"/>
      </w:pPr>
      <w:r>
        <w:rPr>
          <w:rFonts w:ascii="Arial" w:cs="Arial" w:eastAsia="SimSun" w:hAnsi="Arial"/>
          <w:sz w:val="22"/>
          <w:szCs w:val="22"/>
        </w:rPr>
        <w:t xml:space="preserve">广告利润率的改善来自结构而非定价。流量获取成本占 Google 广告收入的比重从2025年第二季度的20.6%降至2026年第二季度的19.8%，原因不是分发伙伴接受了更低的分成，而是把大部分收入付给发布商的 Google Network 持续萎缩。当 Network 停止萎缩或小到无关紧要时，这股顺风就会结束。</w:t>
      </w:r>
    </w:p>
    <w:p>
      <w:pPr>
        <w:pStyle w:val="Heading2"/>
        <w:spacing w:after="180" w:before="180"/>
      </w:pPr>
      <w:r>
        <w:rPr>
          <w:rFonts w:ascii="Arial" w:cs="Arial" w:eastAsia="SimSun" w:hAnsi="Arial"/>
          <w:b/>
          <w:bCs/>
          <w:color w:val="1F3864"/>
          <w:sz w:val="28"/>
          <w:szCs w:val="28"/>
        </w:rPr>
        <w:t xml:space="preserve">这一变化的财务形态</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60"/>
        <w:gridCol w:w="1650"/>
        <w:gridCol w:w="1650"/>
        <w:gridCol w:w="1650"/>
        <w:gridCol w:w="1650"/>
      </w:tblGrid>
      <w:tr>
        <w:tc>
          <w:tcPr>
            <w:tcW w:type="dxa" w:w="276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
            </w:r>
          </w:p>
        </w:tc>
        <w:tc>
          <w:tcPr>
            <w:tcW w:type="dxa" w:w="1650"/>
            <w:shd w:fill="EDF0F7" w:color="auto" w:val="clear"/>
            <w:tcMar>
              <w:top w:type="dxa" w:w="80"/>
              <w:left w:type="dxa" w:w="120"/>
              <w:bottom w:type="dxa" w:w="80"/>
              <w:right w:type="dxa" w:w="120"/>
            </w:tcMar>
          </w:tcPr>
          <w:p>
            <w:pPr>
              <w:spacing w:after="0" w:line="260"/>
              <w:jc w:val="right"/>
            </w:pPr>
            <w:r>
              <w:rPr>
                <w:rFonts w:ascii="Arial" w:cs="Arial" w:eastAsia="SimSun" w:hAnsi="Arial"/>
                <w:b/>
                <w:bCs/>
                <w:color w:val="1F3864"/>
                <w:sz w:val="20"/>
                <w:szCs w:val="20"/>
              </w:rPr>
              <w:t xml:space="preserve">FY2022</w:t>
            </w:r>
          </w:p>
        </w:tc>
        <w:tc>
          <w:tcPr>
            <w:tcW w:type="dxa" w:w="1650"/>
            <w:shd w:fill="EDF0F7" w:color="auto" w:val="clear"/>
            <w:tcMar>
              <w:top w:type="dxa" w:w="80"/>
              <w:left w:type="dxa" w:w="120"/>
              <w:bottom w:type="dxa" w:w="80"/>
              <w:right w:type="dxa" w:w="120"/>
            </w:tcMar>
          </w:tcPr>
          <w:p>
            <w:pPr>
              <w:spacing w:after="0" w:line="260"/>
              <w:jc w:val="right"/>
            </w:pPr>
            <w:r>
              <w:rPr>
                <w:rFonts w:ascii="Arial" w:cs="Arial" w:eastAsia="SimSun" w:hAnsi="Arial"/>
                <w:b/>
                <w:bCs/>
                <w:color w:val="1F3864"/>
                <w:sz w:val="20"/>
                <w:szCs w:val="20"/>
              </w:rPr>
              <w:t xml:space="preserve">FY2024</w:t>
            </w:r>
          </w:p>
        </w:tc>
        <w:tc>
          <w:tcPr>
            <w:tcW w:type="dxa" w:w="1650"/>
            <w:shd w:fill="EDF0F7" w:color="auto" w:val="clear"/>
            <w:tcMar>
              <w:top w:type="dxa" w:w="80"/>
              <w:left w:type="dxa" w:w="120"/>
              <w:bottom w:type="dxa" w:w="80"/>
              <w:right w:type="dxa" w:w="120"/>
            </w:tcMar>
          </w:tcPr>
          <w:p>
            <w:pPr>
              <w:spacing w:after="0" w:line="260"/>
              <w:jc w:val="right"/>
            </w:pPr>
            <w:r>
              <w:rPr>
                <w:rFonts w:ascii="Arial" w:cs="Arial" w:eastAsia="SimSun" w:hAnsi="Arial"/>
                <w:b/>
                <w:bCs/>
                <w:color w:val="1F3864"/>
                <w:sz w:val="20"/>
                <w:szCs w:val="20"/>
              </w:rPr>
              <w:t xml:space="preserve">FY2025</w:t>
            </w:r>
          </w:p>
        </w:tc>
        <w:tc>
          <w:tcPr>
            <w:tcW w:type="dxa" w:w="1650"/>
            <w:shd w:fill="EDF0F7" w:color="auto" w:val="clear"/>
            <w:tcMar>
              <w:top w:type="dxa" w:w="80"/>
              <w:left w:type="dxa" w:w="120"/>
              <w:bottom w:type="dxa" w:w="80"/>
              <w:right w:type="dxa" w:w="120"/>
            </w:tcMar>
          </w:tcPr>
          <w:p>
            <w:pPr>
              <w:spacing w:after="0" w:line="260"/>
              <w:jc w:val="right"/>
            </w:pPr>
            <w:r>
              <w:rPr>
                <w:rFonts w:ascii="Arial" w:cs="Arial" w:eastAsia="SimSun" w:hAnsi="Arial"/>
                <w:b/>
                <w:bCs/>
                <w:color w:val="1F3864"/>
                <w:sz w:val="20"/>
                <w:szCs w:val="20"/>
              </w:rPr>
              <w:t xml:space="preserve">LTM 6/26</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收入（亿美元）</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2,828.36</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3,500.18</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4,028.36</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4,458.66</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营业利润（亿美元）</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748.42</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1,123.90</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1,290.39</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1,476.28</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营业利润率</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26.5%</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32.1%</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32.0%</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33.1%</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资本开支（亿美元）</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314.85</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525.35</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914.47</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1,324.02</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资本开支占收入比</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11.1%</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15.0%</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22.7%</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29.7%</w:t>
            </w:r>
          </w:p>
        </w:tc>
      </w:tr>
      <w:tr>
        <w:tc>
          <w:tcPr>
            <w:tcW w:type="dxa" w:w="2760"/>
            <w:tcMar>
              <w:top w:type="dxa" w:w="80"/>
              <w:left w:type="dxa" w:w="120"/>
              <w:bottom w:type="dxa" w:w="80"/>
              <w:right w:type="dxa" w:w="120"/>
            </w:tcMar>
          </w:tcPr>
          <w:p>
            <w:pPr>
              <w:spacing w:after="0" w:line="260"/>
              <w:jc w:val="left"/>
            </w:pPr>
            <w:r>
              <w:rPr>
                <w:rFonts w:ascii="Arial" w:cs="Arial" w:eastAsia="SimSun" w:hAnsi="Arial"/>
                <w:b/>
                <w:bCs/>
                <w:sz w:val="20"/>
                <w:szCs w:val="20"/>
              </w:rPr>
              <w:t xml:space="preserve">自由现金流（亿美元）</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600.10</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727.64</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732.66</w:t>
            </w:r>
          </w:p>
        </w:tc>
        <w:tc>
          <w:tcPr>
            <w:tcW w:type="dxa" w:w="1650"/>
            <w:tcMar>
              <w:top w:type="dxa" w:w="80"/>
              <w:left w:type="dxa" w:w="120"/>
              <w:bottom w:type="dxa" w:w="80"/>
              <w:right w:type="dxa" w:w="120"/>
            </w:tcMar>
          </w:tcPr>
          <w:p>
            <w:pPr>
              <w:spacing w:after="0" w:line="260"/>
              <w:jc w:val="right"/>
            </w:pPr>
            <w:r>
              <w:rPr>
                <w:rFonts w:ascii="Arial" w:cs="Arial" w:eastAsia="SimSun" w:hAnsi="Arial"/>
                <w:b w:val="false"/>
                <w:bCs w:val="false"/>
                <w:sz w:val="20"/>
                <w:szCs w:val="20"/>
              </w:rPr>
              <w:t xml:space="preserve">532.73</w:t>
            </w:r>
          </w:p>
        </w:tc>
      </w:tr>
    </w:tbl>
    <w:p>
      <w:pPr>
        <w:spacing w:after="200" w:before="80" w:line="260"/>
      </w:pPr>
      <w:r>
        <w:rPr>
          <w:rFonts w:ascii="Arial" w:cs="Arial" w:eastAsia="SimSun" w:hAnsi="Arial"/>
          <w:i/>
          <w:iCs/>
          <w:color w:val="555555"/>
          <w:sz w:val="18"/>
          <w:szCs w:val="18"/>
        </w:rPr>
        <w:t xml:space="preserve">资料来源：Alphabet FY2022、FY2024、FY2025年度10-K表及2026年第二季度10-Q表；自由现金流采用公司定义，即经营活动现金流减去购置不动产及设备支出。可比性说明：FY2025 包含第三季度35亿美元欧盟委员会广告技术罚款和第四季度21亿美元 Waymo 薪酬费用；LTM 列包含自2026年3月11日起并表的 Wiz 及约21亿美元 PriceRunner 损害赔偿计提。有意省略 FY2023——所选四列分别展示低谷、扩产前基线、最近完整年度和当前运行率。</w:t>
      </w:r>
    </w:p>
    <w:p>
      <w:pPr>
        <w:spacing w:after="140" w:line="276"/>
      </w:pPr>
      <w:r>
        <w:rPr>
          <w:rFonts w:ascii="Arial" w:cs="Arial" w:eastAsia="SimSun" w:hAnsi="Arial"/>
          <w:sz w:val="22"/>
          <w:szCs w:val="22"/>
        </w:rPr>
        <w:t xml:space="preserve">这张表包含了全部论点。收入增速加快，营业利润率扩张，在这一体量上并不寻常。自由现金流却反其道而行：它现在低于FY2021的水平，而当时公司规模小三分之一。把两者分开的正是资本开支，它已从收入的11%升至30%。</w:t>
      </w:r>
    </w:p>
    <w:p>
      <w:pPr>
        <w:spacing w:after="140" w:line="276"/>
      </w:pPr>
      <w:r>
        <w:rPr>
          <w:rFonts w:ascii="Arial" w:cs="Arial" w:eastAsia="SimSun" w:hAnsi="Arial"/>
          <w:sz w:val="22"/>
          <w:szCs w:val="22"/>
        </w:rPr>
        <w:t xml:space="preserve">完整的弧线是：FY2021资本开支为246.40亿美元，FY2023为322.51亿美元，同期自由现金流分别为670.12亿美元和694.95亿美元。2024年之前的记录，没有任何一点能预示当下。</w:t>
      </w:r>
    </w:p>
    <w:p>
      <w:pPr>
        <w:pStyle w:val="Heading2"/>
        <w:spacing w:after="180" w:before="180"/>
      </w:pPr>
      <w:r>
        <w:rPr>
          <w:rFonts w:ascii="Arial" w:cs="Arial" w:eastAsia="SimSun" w:hAnsi="Arial"/>
          <w:b/>
          <w:bCs/>
          <w:color w:val="1F3864"/>
          <w:sz w:val="28"/>
          <w:szCs w:val="28"/>
        </w:rPr>
        <w:t xml:space="preserve">现金转化已经反转</w:t>
      </w:r>
    </w:p>
    <w:p>
      <w:pPr>
        <w:spacing w:after="140" w:line="276"/>
      </w:pPr>
      <w:r>
        <w:rPr>
          <w:rFonts w:ascii="Arial" w:cs="Arial" w:eastAsia="SimSun" w:hAnsi="Arial"/>
          <w:sz w:val="22"/>
          <w:szCs w:val="22"/>
        </w:rPr>
        <w:t xml:space="preserve">过去十二个月1,856.75亿美元的经营活动现金流是公司历史上最高水平。532.73亿美元的自由现金流则是2021年之前以来的最低水平。季度路径显示了它是何时断裂的：2025年第三季度245亿美元，第四季度246亿美元，2026年第一季度101亿美元，第二季度为负58.55亿美元——有记录以来首个自由现金流为负的季度，经营活动现金流390.69亿美元对应资本开支449.24亿美元。</w:t>
      </w:r>
    </w:p>
    <w:p>
      <w:pPr>
        <w:spacing w:after="140" w:line="276"/>
      </w:pPr>
      <w:r>
        <w:rPr>
          <w:rFonts w:ascii="Arial" w:cs="Arial" w:eastAsia="SimSun" w:hAnsi="Arial"/>
          <w:sz w:val="22"/>
          <w:szCs w:val="22"/>
        </w:rPr>
        <w:t xml:space="preserve">报告数字还低估了已经承诺的规模。截至2026年6月30日，291.13亿美元的不动产及设备计入应付账款和应计负债而非已付现金，1,228.14亿美元的资产被记为尚未投入使用，合同承诺——主要是基础设施和存货组件的长期供应协议——达7,070亿美元，另有852亿美元已签约但尚未起租的租赁。现金流量表所披露的支出，只是已经结清的那部分。</w:t>
      </w:r>
    </w:p>
    <w:p>
      <w:pPr>
        <w:spacing w:after="140" w:line="276"/>
      </w:pPr>
      <w:r>
        <w:rPr>
          <w:rFonts w:ascii="Arial" w:cs="Arial" w:eastAsia="SimSun" w:hAnsi="Arial"/>
          <w:sz w:val="22"/>
          <w:szCs w:val="22"/>
        </w:rPr>
        <w:t xml:space="preserve">折旧是把这一切转入损益表的机制，而它远远落后于资产规模。折旧从FY2024的153.11亿美元增至FY2025的211.36亿美元，仅2026年上半年就达135.86亿美元。按过去十二个月计算，资本开支是折旧的5.25倍，意味着资产规模的增长速度是其摊销速度的五倍以上。服务器采用2023年确定的六年使用年限；2026年第二季度10-Q表未披露任何变更。</w:t>
      </w:r>
    </w:p>
    <w:p>
      <w:pPr>
        <w:pStyle w:val="Heading2"/>
        <w:spacing w:after="180" w:before="180"/>
      </w:pPr>
      <w:r>
        <w:rPr>
          <w:rFonts w:ascii="Arial" w:cs="Arial" w:eastAsia="SimSun" w:hAnsi="Arial"/>
          <w:b/>
          <w:bCs/>
          <w:color w:val="1F3864"/>
          <w:sz w:val="28"/>
          <w:szCs w:val="28"/>
        </w:rPr>
        <w:t xml:space="preserve">现金去了哪里，以及谁对现金拥有第一顺位求偿权的变化</w:t>
      </w:r>
    </w:p>
    <w:p>
      <w:pPr>
        <w:spacing w:after="140" w:line="276"/>
      </w:pPr>
      <w:r>
        <w:rPr>
          <w:rFonts w:ascii="Arial" w:cs="Arial" w:eastAsia="SimSun" w:hAnsi="Arial"/>
          <w:sz w:val="22"/>
          <w:szCs w:val="22"/>
        </w:rPr>
        <w:t xml:space="preserve">按过去十二个月排序：资本开支1,324亿美元，收购353亿美元，股份回购174亿美元，股息103亿美元，债务净偿还为零——Alphabet 是大额净融资方。2026年上半年的排序更为鲜明，因为回购恰好为零，而2025年同期为283.06亿美元，2025年4月授权额度中尚有695亿美元未动用。</w:t>
      </w:r>
    </w:p>
    <w:p>
      <w:pPr>
        <w:spacing w:after="140" w:line="276"/>
      </w:pPr>
      <w:r>
        <w:rPr>
          <w:rFonts w:ascii="Arial" w:cs="Arial" w:eastAsia="SimSun" w:hAnsi="Arial"/>
          <w:sz w:val="22"/>
          <w:szCs w:val="22"/>
        </w:rPr>
        <w:t xml:space="preserve">融资端的变化大于支出端。2026年6月，Alphabet 历史上首次为现金发行股权：以约353美元公开发行2,900万股A类股和2,900万股C类股，向伯克希尔·哈撒韦关联方定向增发100亿美元，以及发行1,900万股6.25%强制可转换优先股，净募集资金合计496亿美元。它以10亿美元权利金买入上限看涨期权，将转股稀释限制在约530美元以下。公司还授权了一项400亿美元的市价发行计划，截至6月30日尚未动用，主要用于支付员工股权的税务义务。长期债务面值从2025年12月的490.85亿美元升至2026年6月的1,010.85亿美元，涉及六种货币。</w:t>
      </w:r>
    </w:p>
    <w:p>
      <w:pPr>
        <w:spacing w:after="140" w:line="276"/>
      </w:pPr>
      <w:r>
        <w:rPr>
          <w:rFonts w:ascii="Arial" w:cs="Arial" w:eastAsia="SimSun" w:hAnsi="Arial"/>
          <w:sz w:val="22"/>
          <w:szCs w:val="22"/>
        </w:rPr>
        <w:t xml:space="preserve">这一排序揭示的，是对现金求偿顺位的刻意重排。内部再投资排在第一，股东排在最后——以至于公司在停止回购的同时正在发行股票。摊薄股数同比从121.98亿股升至123.09亿股，2021年股权激励计划储备在6月年度股东大会上又增加了2亿股C类股。股息上调5%至每季度0.22美元，相对于1,500亿美元级别的资本密集度变化，这是一个很小的姿态。这是行为描述，不是评判：管理层正在买入一个成为下一个十年基础设施提供者的期权，并且愿意为此稀释现有股东。</w:t>
      </w:r>
    </w:p>
    <w:p>
      <w:pPr>
        <w:spacing w:after="140" w:line="276"/>
      </w:pPr>
      <w:r>
        <w:rPr>
          <w:rFonts w:ascii="Arial" w:cs="Arial" w:eastAsia="SimSun" w:hAnsi="Arial"/>
          <w:sz w:val="22"/>
          <w:szCs w:val="22"/>
        </w:rPr>
        <w:t xml:space="preserve">有三项事件发生在报告数据之后，理应记在此处。2026年8月10日，Alphabet 完成一笔250亿美元、分十档的美元优先票据发行，加权平均票息约5.61%，加权平均期限15.5年，使长期债务面值升至约1,261亿美元；第二季度利息支出已达12.78亿美元，而上年同期为2.61亿美元，8月这一档每年再增加约14亿美元。400亿美元市价发行计划在资产负债表日尚未启动，预计于2026年第三季度开始。Google Fiber 的注入预计于2026年末交割。</w:t>
      </w:r>
    </w:p>
    <w:p>
      <w:pPr>
        <w:pStyle w:val="Heading2"/>
        <w:spacing w:after="180" w:before="180"/>
      </w:pPr>
      <w:r>
        <w:rPr>
          <w:rFonts w:ascii="Arial" w:cs="Arial" w:eastAsia="SimSun" w:hAnsi="Arial"/>
          <w:b/>
          <w:bCs/>
          <w:color w:val="1F3864"/>
          <w:sz w:val="28"/>
          <w:szCs w:val="28"/>
        </w:rPr>
        <w:t xml:space="preserve">报告盈利的另一半</w:t>
      </w:r>
    </w:p>
    <w:p>
      <w:pPr>
        <w:spacing w:after="140" w:line="276"/>
      </w:pPr>
      <w:r>
        <w:rPr>
          <w:rFonts w:ascii="Arial" w:cs="Arial" w:eastAsia="SimSun" w:hAnsi="Arial"/>
          <w:sz w:val="22"/>
          <w:szCs w:val="22"/>
        </w:rPr>
        <w:t xml:space="preserve">2026年第二季度9.11美元的摊薄每股收益不是一个经营性数字。Alphabet 在该季度录得990.31亿美元的股权证券收益，上半年为1,359.46亿美元，并明确表示9.11美元中有6.26美元来自该项收益，同时伴随219亿美元的相关税负。在过去十二个月里，这些估值重估接近税前利润的一半。其中约941亿美元的头寸现在是 SpaceX 股票，分批受限至2027年第三季度不得出售；其余是一项非上市持股，申报文件仅称之为“一家私人公司”，据广泛报道为 Anthropic，但任何申报文件均未点名（推算）。同一项目在FY2022曾录得55.19亿美元亏损。</w:t>
      </w:r>
    </w:p>
    <w:p>
      <w:pPr>
        <w:pStyle w:val="Heading1"/>
        <w:pageBreakBefore/>
        <w:spacing w:after="200" w:before="360"/>
      </w:pPr>
      <w:r>
        <w:rPr>
          <w:rFonts w:ascii="Arial" w:cs="Arial" w:eastAsia="SimSun" w:hAnsi="Arial"/>
          <w:b/>
          <w:bCs/>
          <w:color w:val="1F3864"/>
          <w:sz w:val="32"/>
          <w:szCs w:val="32"/>
        </w:rPr>
        <w:t xml:space="preserve">6.  周期性、约束与监测清单</w:t>
      </w:r>
    </w:p>
    <w:p>
      <w:pPr>
        <w:spacing w:after="140" w:line="276"/>
      </w:pPr>
      <w:r>
        <w:rPr>
          <w:rFonts w:ascii="Arial" w:cs="Arial" w:eastAsia="SimSun" w:hAnsi="Arial"/>
          <w:sz w:val="22"/>
          <w:szCs w:val="22"/>
        </w:rPr>
        <w:t xml:space="preserve">Alphabet 有一个它已经挺过一次的广告周期，还有一个它从未经历过的资本周期。两者需要分开来看，因为后者现在是更大的敞口。</w:t>
      </w:r>
    </w:p>
    <w:p>
      <w:pPr>
        <w:pStyle w:val="Heading2"/>
        <w:spacing w:after="180" w:before="180"/>
      </w:pPr>
      <w:r>
        <w:rPr>
          <w:rFonts w:ascii="Arial" w:cs="Arial" w:eastAsia="SimSun" w:hAnsi="Arial"/>
          <w:b/>
          <w:bCs/>
          <w:color w:val="1F3864"/>
          <w:sz w:val="28"/>
          <w:szCs w:val="28"/>
        </w:rPr>
        <w:t xml:space="preserve">相对于自身峰谷所处的位置</w:t>
      </w:r>
    </w:p>
    <w:p>
      <w:pPr>
        <w:spacing w:after="140" w:line="276"/>
      </w:pPr>
      <w:r>
        <w:rPr>
          <w:rFonts w:ascii="Arial" w:cs="Arial" w:eastAsia="SimSun" w:hAnsi="Arial"/>
          <w:sz w:val="22"/>
          <w:szCs w:val="22"/>
        </w:rPr>
        <w:t xml:space="preserve">广告低谷有据可查：2022年第四季度收入增速降至1.0%，营业利润率降至23.9%，因疫情后广告需求回归常态。收入从未真正下降过。这就是广告业务的下行情形，取自它自身的记录而非某项预测，而且是可以承受的。</w:t>
      </w:r>
    </w:p>
    <w:p>
      <w:pPr>
        <w:spacing w:after="140" w:line="276"/>
      </w:pPr>
      <w:r>
        <w:rPr>
          <w:rFonts w:ascii="Arial" w:cs="Arial" w:eastAsia="SimSun" w:hAnsi="Arial"/>
          <w:sz w:val="22"/>
          <w:szCs w:val="22"/>
        </w:rPr>
        <w:t xml:space="preserve">对照该记录，今天的业务在每一项指标上都接近顶部。2026年第二季度24.2%的收入增速是2021年以来最快，34.0%的营业利润率接近公司报告过的最高水平。</w:t>
      </w:r>
    </w:p>
    <w:p>
      <w:pPr>
        <w:spacing w:after="140" w:line="276"/>
      </w:pPr>
      <w:r>
        <w:rPr>
          <w:rFonts w:ascii="Arial" w:cs="Arial" w:eastAsia="SimSun" w:hAnsi="Arial"/>
          <w:sz w:val="22"/>
          <w:szCs w:val="22"/>
        </w:rPr>
        <w:t xml:space="preserve">但利润率峰值已经过去。它在2026年第一季度达到36.1%，随后环比下降2.1个百分点，营业利润环比增长2.7%而收入环比增长9.0%。折旧对利润率的冲击比年度数字所显示的提前了一个季度。峰值时的创纪录利润率与谷底时的创纪录利润率是两回事，而这是前者，且发生在拐点之后一个季度。</w:t>
      </w:r>
    </w:p>
    <w:p>
      <w:pPr>
        <w:pStyle w:val="Heading2"/>
        <w:spacing w:after="180" w:before="180"/>
      </w:pPr>
      <w:r>
        <w:rPr>
          <w:rFonts w:ascii="Arial" w:cs="Arial" w:eastAsia="SimSun" w:hAnsi="Arial"/>
          <w:b/>
          <w:bCs/>
          <w:color w:val="1F3864"/>
          <w:sz w:val="28"/>
          <w:szCs w:val="28"/>
        </w:rPr>
        <w:t xml:space="preserve">真正起约束作用的因素</w:t>
      </w:r>
    </w:p>
    <w:p>
      <w:pPr>
        <w:spacing w:after="140" w:line="276"/>
      </w:pPr>
      <w:r>
        <w:rPr>
          <w:rFonts w:ascii="Arial" w:cs="Arial" w:eastAsia="SimSun" w:hAnsi="Arial"/>
          <w:sz w:val="22"/>
          <w:szCs w:val="22"/>
        </w:rPr>
        <w:t xml:space="preserve">从2025年第二季度到2026年第二季度的每一场业绩电话会上，硬约束都是供给而非需求，且未给出缓解时点。Pichai 在2026年第一季度电话会上表示，公司近期算力受限，若能满足需求，云业务收入本会更高。收入积压序列——1,080亿、1,580亿、约2,400亿、4,620亿、5,140亿美元——就是这一表述的可计量形式。</w:t>
      </w:r>
    </w:p>
    <w:p>
      <w:pPr>
        <w:spacing w:after="140" w:line="276"/>
      </w:pPr>
      <w:r>
        <w:rPr>
          <w:rFonts w:ascii="Arial" w:cs="Arial" w:eastAsia="SimSun" w:hAnsi="Arial"/>
          <w:sz w:val="22"/>
          <w:szCs w:val="22"/>
        </w:rPr>
        <w:t xml:space="preserve">这门生意真正会感受到的下行机制不是广告衰退。而是：按六年服务器使用年限计提的折旧按固定时间表到来，而积压转化则取决于交付与利用率。在5.25倍于折旧的水平上，这笔费用实际上已经锁定；而支撑它的收入没有锁定。如果2026至2028年这几批资产的利用率不及预期，营业利润率将按一张时间表压缩，而管理层只能通过重新评估使用年限假设来改变它——这是会计判断，不是经营层面的解决办法。值得注意的是，最近五场业绩电话会上都没有讨论服务器使用年限，也没有分析师提出这一问题。</w:t>
      </w:r>
    </w:p>
    <w:p>
      <w:pPr>
        <w:spacing w:after="140" w:line="276"/>
      </w:pPr>
      <w:r>
        <w:rPr>
          <w:rFonts w:ascii="Arial" w:cs="Arial" w:eastAsia="SimSun" w:hAnsi="Arial"/>
          <w:sz w:val="22"/>
          <w:szCs w:val="22"/>
        </w:rPr>
        <w:t xml:space="preserve">另有两项约束是合同性而非物理性的。能源服务协议期限为二至二十六年，义务延续至2054年，带有照付不议下限和实质性终止费；而 Alphabet 只对资本开支给出指引，其他一概不给——最近五场电话会均未提供收入、利润率或税率指引，因此公司唯一愿意背书的前瞻数字，正是那个消耗现金的数字。</w:t>
      </w:r>
    </w:p>
    <w:p>
      <w:r>
        <w:br w:type="page"/>
      </w:r>
    </w:p>
    <w:p>
      <w:pPr>
        <w:pStyle w:val="Heading2"/>
        <w:spacing w:after="180" w:before="180"/>
      </w:pPr>
      <w:r>
        <w:rPr>
          <w:rFonts w:ascii="Arial" w:cs="Arial" w:eastAsia="SimSun" w:hAnsi="Arial"/>
          <w:b/>
          <w:bCs/>
          <w:color w:val="1F3864"/>
          <w:sz w:val="28"/>
          <w:szCs w:val="28"/>
        </w:rPr>
        <w:t xml:space="preserve">可持续 vs 借来的</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c>
          <w:tcPr>
            <w:tcW w:type="dxa" w:w="468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可持续——十年后大概率仍在</w:t>
            </w:r>
          </w:p>
        </w:tc>
        <w:tc>
          <w:tcPr>
            <w:tcW w:type="dxa" w:w="4680"/>
            <w:shd w:fill="EDF0F7" w:color="auto" w:val="clear"/>
            <w:tcMar>
              <w:top w:type="dxa" w:w="80"/>
              <w:left w:type="dxa" w:w="120"/>
              <w:bottom w:type="dxa" w:w="80"/>
              <w:right w:type="dxa" w:w="120"/>
            </w:tcMar>
          </w:tcPr>
          <w:p>
            <w:pPr>
              <w:spacing w:after="0" w:line="260"/>
              <w:jc w:val="left"/>
            </w:pPr>
            <w:r>
              <w:rPr>
                <w:rFonts w:ascii="Arial" w:cs="Arial" w:eastAsia="SimSun" w:hAnsi="Arial"/>
                <w:b/>
                <w:bCs/>
                <w:color w:val="1F3864"/>
                <w:sz w:val="20"/>
                <w:szCs w:val="20"/>
              </w:rPr>
              <w:t xml:space="preserve">借来的——当下有帮助，但不会延续</w:t>
            </w:r>
          </w:p>
        </w:tc>
      </w:tr>
      <w:tr>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覆盖每年五万亿次以上查询的点击相关性反馈闭环</w:t>
            </w:r>
          </w:p>
        </w:tc>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股权证券估值重估约占过去十二个月税前利润的一半；同一项目在FY2022为55亿美元亏损</w:t>
            </w:r>
          </w:p>
        </w:tc>
      </w:tr>
      <w:tr>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通过 Android 和 Chrome 掌握的自有分发渠道，未受搜索救济裁定影响</w:t>
            </w:r>
          </w:p>
        </w:tc>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折旧仅为资本开支的五分之一；这笔费用是被递延，而非被免除</w:t>
            </w:r>
          </w:p>
        </w:tc>
      </w:tr>
      <w:tr>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5,139亿美元已签约云业务收入积压，约为分部过去十二个月收入的6.6倍</w:t>
            </w:r>
          </w:p>
        </w:tc>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流量获取成本率下降源于 Google Network 的衰退，而非重新谈判</w:t>
            </w:r>
          </w:p>
        </w:tc>
      </w:tr>
      <w:tr>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从模型到加速器再到数据中心和电力的垂直整合</w:t>
            </w:r>
          </w:p>
        </w:tc>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由美国带动的增长激增——占第二季度增量的63%——其资金来自 Alphabet 所服务的同一轮人工智能资本周期</w:t>
            </w:r>
          </w:p>
        </w:tc>
      </w:tr>
      <w:tr>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Google Services 约42%的营业利润率，历经一个完整广告周期而不坠</w:t>
            </w:r>
          </w:p>
        </w:tc>
        <w:tc>
          <w:tcPr>
            <w:tcW w:type="dxa" w:w="4680"/>
            <w:tcMar>
              <w:top w:type="dxa" w:w="80"/>
              <w:left w:type="dxa" w:w="120"/>
              <w:bottom w:type="dxa" w:w="80"/>
              <w:right w:type="dxa" w:w="120"/>
            </w:tcMar>
          </w:tcPr>
          <w:p>
            <w:pPr>
              <w:spacing w:after="0" w:line="260"/>
              <w:jc w:val="left"/>
            </w:pPr>
            <w:r>
              <w:rPr>
                <w:rFonts w:ascii="Arial" w:cs="Arial" w:eastAsia="SimSun" w:hAnsi="Arial"/>
                <w:sz w:val="20"/>
                <w:szCs w:val="20"/>
              </w:rPr>
              <w:t xml:space="preserve">利息支出尚未反映1,261亿美元的债务；仅8月那一笔每年就增加约14亿美元</w:t>
            </w:r>
          </w:p>
        </w:tc>
      </w:tr>
    </w:tbl>
    <w:p>
      <w:pPr>
        <w:spacing w:after="160"/>
      </w:pPr>
    </w:p>
    <w:p>
      <w:pPr>
        <w:pStyle w:val="Heading2"/>
        <w:spacing w:after="180" w:before="180"/>
      </w:pPr>
      <w:r>
        <w:rPr>
          <w:rFonts w:ascii="Arial" w:cs="Arial" w:eastAsia="SimSun" w:hAnsi="Arial"/>
          <w:b/>
          <w:bCs/>
          <w:color w:val="1F3864"/>
          <w:sz w:val="28"/>
          <w:szCs w:val="28"/>
        </w:rPr>
        <w:t xml:space="preserve">领先指标，及其发布位置</w:t>
      </w:r>
    </w:p>
    <w:p>
      <w:pPr>
        <w:pStyle w:val="ListParagraph"/>
        <w:numPr>
          <w:ilvl w:val="0"/>
          <w:numId w:val="2"/>
        </w:numPr>
        <w:spacing w:after="120" w:line="276"/>
      </w:pPr>
      <w:r>
        <w:rPr>
          <w:rFonts w:ascii="Arial" w:cs="Arial" w:eastAsia="SimSun" w:hAnsi="Arial"/>
          <w:b/>
          <w:bCs/>
          <w:sz w:val="22"/>
          <w:szCs w:val="22"/>
        </w:rPr>
        <w:t xml:space="preserve">云业务收入积压的季度净增额。</w:t>
      </w:r>
      <w:r>
        <w:rPr>
          <w:rFonts w:ascii="Arial" w:cs="Arial" w:eastAsia="SimSun" w:hAnsi="Arial"/>
          <w:sz w:val="22"/>
          <w:szCs w:val="22"/>
        </w:rPr>
        <w:t xml:space="preserve">10-Q表附注2“收入积压”。对云业务最好的前瞻读数。净增额从2026年第一季度的约2,200亿美元降至第二季度的540亿美元——这是已披露序列中最剧烈的变化，值得在收入端反映出来之前就加以关注。</w:t>
      </w:r>
    </w:p>
    <w:p>
      <w:pPr>
        <w:pStyle w:val="ListParagraph"/>
        <w:numPr>
          <w:ilvl w:val="0"/>
          <w:numId w:val="2"/>
        </w:numPr>
        <w:spacing w:after="120" w:line="276"/>
      </w:pPr>
      <w:r>
        <w:rPr>
          <w:rFonts w:ascii="Arial" w:cs="Arial" w:eastAsia="SimSun" w:hAnsi="Arial"/>
          <w:b/>
          <w:bCs/>
          <w:sz w:val="22"/>
          <w:szCs w:val="22"/>
        </w:rPr>
        <w:t xml:space="preserve">付费点击与单次点击成本。</w:t>
      </w:r>
      <w:r>
        <w:rPr>
          <w:rFonts w:ascii="Arial" w:cs="Arial" w:eastAsia="SimSun" w:hAnsi="Arial"/>
          <w:sz w:val="22"/>
          <w:szCs w:val="22"/>
        </w:rPr>
        <w:t xml:space="preserve">10-Q表管理层讨论与分析部分的变现指标表。人工智能空头论点要求付费点击增速转负。它并没有。</w:t>
      </w:r>
    </w:p>
    <w:p>
      <w:pPr>
        <w:pStyle w:val="ListParagraph"/>
        <w:numPr>
          <w:ilvl w:val="0"/>
          <w:numId w:val="2"/>
        </w:numPr>
        <w:spacing w:after="120" w:line="276"/>
      </w:pPr>
      <w:r>
        <w:rPr>
          <w:rFonts w:ascii="Arial" w:cs="Arial" w:eastAsia="SimSun" w:hAnsi="Arial"/>
          <w:b/>
          <w:bCs/>
          <w:sz w:val="22"/>
          <w:szCs w:val="22"/>
        </w:rPr>
        <w:t xml:space="preserve">折旧占收入比重，对照资本开支指引。</w:t>
      </w:r>
      <w:r>
        <w:rPr>
          <w:rFonts w:ascii="Arial" w:cs="Arial" w:eastAsia="SimSun" w:hAnsi="Arial"/>
          <w:sz w:val="22"/>
          <w:szCs w:val="22"/>
        </w:rPr>
        <w:t xml:space="preserve">合并现金流量表，以及每场业绩电话会给出的资本开支指引。指引已连续五场电话会上调，从FY2025的750亿美元升至FY2026的1,950亿至2,050亿美元。</w:t>
      </w:r>
    </w:p>
    <w:p>
      <w:pPr>
        <w:pStyle w:val="ListParagraph"/>
        <w:numPr>
          <w:ilvl w:val="0"/>
          <w:numId w:val="2"/>
        </w:numPr>
        <w:spacing w:after="120" w:line="276"/>
      </w:pPr>
      <w:r>
        <w:rPr>
          <w:rFonts w:ascii="Arial" w:cs="Arial" w:eastAsia="SimSun" w:hAnsi="Arial"/>
          <w:b/>
          <w:bCs/>
          <w:sz w:val="22"/>
          <w:szCs w:val="22"/>
        </w:rPr>
        <w:t xml:space="preserve">服务器使用年限。</w:t>
      </w:r>
      <w:r>
        <w:rPr>
          <w:rFonts w:ascii="Arial" w:cs="Arial" w:eastAsia="SimSun" w:hAnsi="Arial"/>
          <w:sz w:val="22"/>
          <w:szCs w:val="22"/>
        </w:rPr>
        <w:t xml:space="preserve">10-K表重要会计政策摘要。任何超过六年的延长都会在不改变现金的情况下美化报告利润率；任何缩短则相反。</w:t>
      </w:r>
    </w:p>
    <w:p>
      <w:pPr>
        <w:pStyle w:val="ListParagraph"/>
        <w:numPr>
          <w:ilvl w:val="0"/>
          <w:numId w:val="2"/>
        </w:numPr>
        <w:spacing w:after="120" w:line="276"/>
      </w:pPr>
      <w:r>
        <w:rPr>
          <w:rFonts w:ascii="Arial" w:cs="Arial" w:eastAsia="SimSun" w:hAnsi="Arial"/>
          <w:b/>
          <w:bCs/>
          <w:sz w:val="22"/>
          <w:szCs w:val="22"/>
        </w:rPr>
        <w:t xml:space="preserve">云业务市场份额。</w:t>
      </w:r>
      <w:r>
        <w:rPr>
          <w:rFonts w:ascii="Arial" w:cs="Arial" w:eastAsia="SimSun" w:hAnsi="Arial"/>
          <w:sz w:val="22"/>
          <w:szCs w:val="22"/>
        </w:rPr>
        <w:t xml:space="preserve">Synergy Research Group 的季度超大规模云服务商追踪报告，对照各公司报告的分部增速。</w:t>
      </w:r>
    </w:p>
    <w:p>
      <w:pPr>
        <w:pStyle w:val="ListParagraph"/>
        <w:numPr>
          <w:ilvl w:val="0"/>
          <w:numId w:val="2"/>
        </w:numPr>
        <w:spacing w:after="120" w:line="276"/>
      </w:pPr>
      <w:r>
        <w:rPr>
          <w:rFonts w:ascii="Arial" w:cs="Arial" w:eastAsia="SimSun" w:hAnsi="Arial"/>
          <w:b/>
          <w:bCs/>
          <w:sz w:val="22"/>
          <w:szCs w:val="22"/>
        </w:rPr>
        <w:t xml:space="preserve">法院卷宗。</w:t>
      </w:r>
      <w:r>
        <w:rPr>
          <w:rFonts w:ascii="Arial" w:cs="Arial" w:eastAsia="SimSun" w:hAnsi="Arial"/>
          <w:sz w:val="22"/>
          <w:szCs w:val="22"/>
        </w:rPr>
        <w:t xml:space="preserve">哥伦比亚特区巡回上诉法院的搜索案上诉卷宗；弗吉尼亚东区法院的广告技术救济判决。</w:t>
      </w:r>
    </w:p>
    <w:p>
      <w:pPr>
        <w:pStyle w:val="Heading1"/>
        <w:pageBreakBefore/>
        <w:spacing w:after="200" w:before="360"/>
      </w:pPr>
      <w:r>
        <w:rPr>
          <w:rFonts w:ascii="Arial" w:cs="Arial" w:eastAsia="SimSun" w:hAnsi="Arial"/>
          <w:b/>
          <w:bCs/>
          <w:color w:val="1F3864"/>
          <w:sz w:val="32"/>
          <w:szCs w:val="32"/>
        </w:rPr>
        <w:t xml:space="preserve">7.  风险、未知与待深入的问题</w:t>
      </w:r>
    </w:p>
    <w:p>
      <w:pPr>
        <w:spacing w:after="140" w:line="276"/>
      </w:pPr>
      <w:r>
        <w:rPr>
          <w:rFonts w:ascii="Arial" w:cs="Arial" w:eastAsia="SimSun" w:hAnsi="Arial"/>
          <w:sz w:val="22"/>
          <w:szCs w:val="22"/>
        </w:rPr>
        <w:t xml:space="preserve">周期性与折旧时间表已在第6节讨论。以下是那些内容未能涵盖的部分，按风险之间相互叠加的程度排序。</w:t>
      </w:r>
    </w:p>
    <w:p>
      <w:pPr>
        <w:pStyle w:val="ListParagraph"/>
        <w:numPr>
          <w:ilvl w:val="0"/>
          <w:numId w:val="2"/>
        </w:numPr>
        <w:spacing w:after="120" w:line="276"/>
      </w:pPr>
      <w:r>
        <w:rPr>
          <w:rFonts w:ascii="Arial" w:cs="Arial" w:eastAsia="SimSun" w:hAnsi="Arial"/>
          <w:b/>
          <w:bCs/>
          <w:sz w:val="22"/>
          <w:szCs w:val="22"/>
        </w:rPr>
        <w:t xml:space="preserve">广告技术救济尚未裁决，而这是唯一可能移除一项资产的案件。</w:t>
      </w:r>
      <w:r>
        <w:rPr>
          <w:rFonts w:ascii="Arial" w:cs="Arial" w:eastAsia="SimSun" w:hAnsi="Arial"/>
          <w:sz w:val="22"/>
          <w:szCs w:val="22"/>
        </w:rPr>
        <w:t xml:space="preserve">Brinkema 法官于2025年4月认定 Google 的发布商工具非法排挤竞争对手。救济程序于2025年9月进行，2025年11月完成结案陈词，而截至2026年第二季度10-Q表仍未作出判决。司法部寻求结构性救济，公司表示这些措施“可能产生重大不利影响”。诚实的解读是双向的：Google Network 是FY2025收入中的297.92亿美元，因此强制剥离将移除约7%的收入——但那是利润率最低的7%，移除后反而会提高集团利润率。德州总检察长的案件将在此案裁决之后跟进。</w:t>
      </w:r>
    </w:p>
    <w:p>
      <w:pPr>
        <w:pStyle w:val="ListParagraph"/>
        <w:numPr>
          <w:ilvl w:val="0"/>
          <w:numId w:val="2"/>
        </w:numPr>
        <w:spacing w:after="120" w:line="276"/>
      </w:pPr>
      <w:r>
        <w:rPr>
          <w:rFonts w:ascii="Arial" w:cs="Arial" w:eastAsia="SimSun" w:hAnsi="Arial"/>
          <w:b/>
          <w:bCs/>
          <w:sz w:val="22"/>
          <w:szCs w:val="22"/>
        </w:rPr>
        <w:t xml:space="preserve">计费事件是点击，而非查询。</w:t>
      </w:r>
      <w:r>
        <w:rPr>
          <w:rFonts w:ascii="Arial" w:cs="Arial" w:eastAsia="SimSun" w:hAnsi="Arial"/>
          <w:sz w:val="22"/>
          <w:szCs w:val="22"/>
        </w:rPr>
        <w:t xml:space="preserve">Alphabet 在用户与广告发生互动时才获得报酬，而不是在问题被回答时。Gemini 完整回答的每一条查询，都是一条没有产生拍卖的查询。皮尤的点击流证据——无人工智能摘要时点击率15%，有摘要时8%——精确地描述了这一机制。付费点击仍在以13%增长，因此这尚未在关键层面发生。但需要关注的指标不是 Alphabet 强调的查询量，也不是保持稳定的搜索引擎份额，而是付费点击，而公司只以百分比变化的形式披露该数字。</w:t>
      </w:r>
    </w:p>
    <w:p>
      <w:pPr>
        <w:pStyle w:val="ListParagraph"/>
        <w:numPr>
          <w:ilvl w:val="0"/>
          <w:numId w:val="2"/>
        </w:numPr>
        <w:spacing w:after="120" w:line="276"/>
      </w:pPr>
      <w:r>
        <w:rPr>
          <w:rFonts w:ascii="Arial" w:cs="Arial" w:eastAsia="SimSun" w:hAnsi="Arial"/>
          <w:b/>
          <w:bCs/>
          <w:sz w:val="22"/>
          <w:szCs w:val="22"/>
        </w:rPr>
        <w:t xml:space="preserve">估值重估可能回转，而 Alphabet 正基于此发行股权。</w:t>
      </w:r>
      <w:r>
        <w:rPr>
          <w:rFonts w:ascii="Arial" w:cs="Arial" w:eastAsia="SimSun" w:hAnsi="Arial"/>
          <w:sz w:val="22"/>
          <w:szCs w:val="22"/>
        </w:rPr>
        <w:t xml:space="preserve">账面价值1,243亿美元的非上市股权，在单个季度内基于可观察的第三方融资轮次上调了879亿美元，而这类融资轮次在构造上就是顺周期的。回转不会触及营业利润，但会冲击报告盈利和股东权益——而 Alphabet 现在正基于该权益基础发行股票，并已就同一交易对手承诺了延续至2030年的200亿美元或有出资。敞口和出资义务是同向变动的。</w:t>
      </w:r>
    </w:p>
    <w:p>
      <w:pPr>
        <w:pStyle w:val="ListParagraph"/>
        <w:numPr>
          <w:ilvl w:val="0"/>
          <w:numId w:val="2"/>
        </w:numPr>
        <w:spacing w:after="120" w:line="276"/>
      </w:pPr>
      <w:r>
        <w:rPr>
          <w:rFonts w:ascii="Arial" w:cs="Arial" w:eastAsia="SimSun" w:hAnsi="Arial"/>
          <w:b/>
          <w:bCs/>
          <w:sz w:val="22"/>
          <w:szCs w:val="22"/>
        </w:rPr>
        <w:t xml:space="preserve">稀释与折旧相互叠加。</w:t>
      </w:r>
      <w:r>
        <w:rPr>
          <w:rFonts w:ascii="Arial" w:cs="Arial" w:eastAsia="SimSun" w:hAnsi="Arial"/>
          <w:sz w:val="22"/>
          <w:szCs w:val="22"/>
        </w:rPr>
        <w:t xml:space="preserve">市价发行计划消除了员工股权净额结算原本提供的股数收缩效应；股权激励计划储备增加了2亿股C类股；摊薄股数已在上升。再把这些与一项预计至少两年内增速快于收入的折旧费用放在一起，每股收益就可能在收入增长的同时下降。单独任何一项都不令人警惕。合在一起，它们就是一个好的经营年度变成糟糕的报告年度的机制。</w:t>
      </w:r>
    </w:p>
    <w:p>
      <w:pPr>
        <w:pStyle w:val="ListParagraph"/>
        <w:numPr>
          <w:ilvl w:val="0"/>
          <w:numId w:val="2"/>
        </w:numPr>
        <w:spacing w:after="120" w:line="276"/>
      </w:pPr>
      <w:r>
        <w:rPr>
          <w:rFonts w:ascii="Arial" w:cs="Arial" w:eastAsia="SimSun" w:hAnsi="Arial"/>
          <w:b/>
          <w:bCs/>
          <w:sz w:val="22"/>
          <w:szCs w:val="22"/>
        </w:rPr>
        <w:t xml:space="preserve">积压集中度未予披露。</w:t>
      </w:r>
      <w:r>
        <w:rPr>
          <w:rFonts w:ascii="Arial" w:cs="Arial" w:eastAsia="SimSun" w:hAnsi="Arial"/>
          <w:sz w:val="22"/>
          <w:szCs w:val="22"/>
        </w:rPr>
        <w:t xml:space="preserve">存在5,139亿美元的云业务收入积压和7,070亿美元的供应承诺，而 Alphabet 对云业务分部完全没有披露客户集中度。如果积压中相当一部分来自少数几家由同一轮资本周期供养的人工智能实验室，而这轮周期同时也在为 Alphabet 自身的建设提供资金，那么资产与义务就是相关的，单一交易对手的失败将同时冲击资产负债表两侧。申报文件中没有任何内容证实这一点；也没有任何内容排除这一点。</w:t>
      </w:r>
    </w:p>
    <w:p>
      <w:pPr>
        <w:pStyle w:val="Heading2"/>
        <w:spacing w:after="180" w:before="180"/>
      </w:pPr>
      <w:r>
        <w:rPr>
          <w:rFonts w:ascii="Arial" w:cs="Arial" w:eastAsia="SimSun" w:hAnsi="Arial"/>
          <w:b/>
          <w:bCs/>
          <w:color w:val="1F3864"/>
          <w:sz w:val="28"/>
          <w:szCs w:val="28"/>
        </w:rPr>
        <w:t xml:space="preserve">资料来源无法回答的问题</w:t>
      </w:r>
    </w:p>
    <w:p>
      <w:pPr>
        <w:spacing w:after="140" w:line="276"/>
      </w:pPr>
      <w:r>
        <w:rPr>
          <w:rFonts w:ascii="Arial" w:cs="Arial" w:eastAsia="SimSun" w:hAnsi="Arial"/>
          <w:sz w:val="22"/>
          <w:szCs w:val="22"/>
        </w:rPr>
        <w:t xml:space="preserve">这些是研究发现，而不是研究缺口。在投资者能够形成对这门生意的判断之前，每一项都需要得到解决。</w:t>
      </w:r>
    </w:p>
    <w:p>
      <w:pPr>
        <w:pStyle w:val="ListParagraph"/>
        <w:numPr>
          <w:ilvl w:val="0"/>
          <w:numId w:val="2"/>
        </w:numPr>
        <w:spacing w:after="120" w:line="276"/>
      </w:pPr>
      <w:r>
        <w:rPr>
          <w:rFonts w:ascii="Arial" w:cs="Arial" w:eastAsia="SimSun" w:hAnsi="Arial"/>
          <w:sz w:val="22"/>
          <w:szCs w:val="22"/>
        </w:rPr>
        <w:t xml:space="preserve">付费点击的绝对数量和单次点击收入。仅披露百分比变化，因此核心业务的单位经济性无法从公开申报文件中还原。</w:t>
      </w:r>
    </w:p>
    <w:p>
      <w:pPr>
        <w:pStyle w:val="ListParagraph"/>
        <w:numPr>
          <w:ilvl w:val="0"/>
          <w:numId w:val="2"/>
        </w:numPr>
        <w:spacing w:after="120" w:line="276"/>
      </w:pPr>
      <w:r>
        <w:rPr>
          <w:rFonts w:ascii="Arial" w:cs="Arial" w:eastAsia="SimSun" w:hAnsi="Arial"/>
          <w:sz w:val="22"/>
          <w:szCs w:val="22"/>
        </w:rPr>
        <w:t xml:space="preserve">Google Cloud 的客户集中度。不存在分部层面的披露，集团层面亦无单一客户超过10%。</w:t>
      </w:r>
    </w:p>
    <w:p>
      <w:pPr>
        <w:pStyle w:val="ListParagraph"/>
        <w:numPr>
          <w:ilvl w:val="0"/>
          <w:numId w:val="2"/>
        </w:numPr>
        <w:spacing w:after="120" w:line="276"/>
      </w:pPr>
      <w:r>
        <w:rPr>
          <w:rFonts w:ascii="Arial" w:cs="Arial" w:eastAsia="SimSun" w:hAnsi="Arial"/>
          <w:sz w:val="22"/>
          <w:szCs w:val="22"/>
        </w:rPr>
        <w:t xml:space="preserve">资本开支中维护性与增长性的拆分。未予披露。没有它，就无法估算建设完成后可持续的自由现金流水平。</w:t>
      </w:r>
    </w:p>
    <w:p>
      <w:pPr>
        <w:pStyle w:val="ListParagraph"/>
        <w:numPr>
          <w:ilvl w:val="0"/>
          <w:numId w:val="2"/>
        </w:numPr>
        <w:spacing w:after="120" w:line="276"/>
      </w:pPr>
      <w:r>
        <w:rPr>
          <w:rFonts w:ascii="Arial" w:cs="Arial" w:eastAsia="SimSun" w:hAnsi="Arial"/>
          <w:sz w:val="22"/>
          <w:szCs w:val="22"/>
        </w:rPr>
        <w:t xml:space="preserve">TPU 系统的收入及其毛利率。管理层明确拒绝：“我们不单独披露任何具体产品的利润率。”外购芯片式硬件究竟带来硬件毛利率还是云业务毛利率，是2027年的首要问题。</w:t>
      </w:r>
    </w:p>
    <w:p>
      <w:pPr>
        <w:pStyle w:val="ListParagraph"/>
        <w:numPr>
          <w:ilvl w:val="0"/>
          <w:numId w:val="2"/>
        </w:numPr>
        <w:spacing w:after="120" w:line="276"/>
      </w:pPr>
      <w:r>
        <w:rPr>
          <w:rFonts w:ascii="Arial" w:cs="Arial" w:eastAsia="SimSun" w:hAnsi="Arial"/>
          <w:sz w:val="22"/>
          <w:szCs w:val="22"/>
        </w:rPr>
        <w:t xml:space="preserve">Wiz 的收入贡献。未予拆分，因此内生云业务增速是一个估算值。</w:t>
      </w:r>
    </w:p>
    <w:p>
      <w:pPr>
        <w:pStyle w:val="ListParagraph"/>
        <w:numPr>
          <w:ilvl w:val="0"/>
          <w:numId w:val="2"/>
        </w:numPr>
        <w:spacing w:after="120" w:line="276"/>
      </w:pPr>
      <w:r>
        <w:rPr>
          <w:rFonts w:ascii="Arial" w:cs="Arial" w:eastAsia="SimSun" w:hAnsi="Arial"/>
          <w:sz w:val="22"/>
          <w:szCs w:val="22"/>
        </w:rPr>
        <w:t xml:space="preserve">支撑1,243亿美元非上市持股的那家私人公司的身份。任何申报文件均未提及。</w:t>
      </w:r>
    </w:p>
    <w:p>
      <w:pPr>
        <w:pStyle w:val="ListParagraph"/>
        <w:numPr>
          <w:ilvl w:val="0"/>
          <w:numId w:val="2"/>
        </w:numPr>
        <w:spacing w:after="120" w:line="276"/>
      </w:pPr>
      <w:r>
        <w:rPr>
          <w:rFonts w:ascii="Arial" w:cs="Arial" w:eastAsia="SimSun" w:hAnsi="Arial"/>
          <w:sz w:val="22"/>
          <w:szCs w:val="22"/>
        </w:rPr>
        <w:t xml:space="preserve">六年服务器使用年限是否仍然反映人工智能时代硬件的经济性。未披露任何变更，最近五场业绩电话会上也从未有人提出该问题。</w:t>
      </w:r>
    </w:p>
    <w:p>
      <w:pPr>
        <w:pStyle w:val="ListParagraph"/>
        <w:numPr>
          <w:ilvl w:val="0"/>
          <w:numId w:val="2"/>
        </w:numPr>
        <w:spacing w:after="120" w:line="276"/>
      </w:pPr>
      <w:r>
        <w:rPr>
          <w:rFonts w:ascii="Arial" w:cs="Arial" w:eastAsia="SimSun" w:hAnsi="Arial"/>
          <w:sz w:val="22"/>
          <w:szCs w:val="22"/>
        </w:rPr>
        <w:t xml:space="preserve">分部收入的地域拆分。Alphabet 仅在合并层面报告地域数据，因此美国的增长激增无法在广告与云业务之间归因。</w:t>
      </w:r>
    </w:p>
    <w:p>
      <w:pPr>
        <w:pStyle w:val="ListParagraph"/>
        <w:numPr>
          <w:ilvl w:val="0"/>
          <w:numId w:val="2"/>
        </w:numPr>
        <w:spacing w:after="120" w:line="276"/>
      </w:pPr>
      <w:r>
        <w:rPr>
          <w:rFonts w:ascii="Arial" w:cs="Arial" w:eastAsia="SimSun" w:hAnsi="Arial"/>
          <w:sz w:val="22"/>
          <w:szCs w:val="22"/>
        </w:rPr>
        <w:t xml:space="preserve">人工智能助手使用量对搜索的替代比例。已发布的估算从占引荐流量不足1%到约占数字查询的17%不等；跨度过大，任何单一数字都不可用。</w:t>
      </w:r>
    </w:p>
    <w:p>
      <w:pPr>
        <w:pStyle w:val="Heading1"/>
        <w:pageBreakBefore/>
        <w:spacing w:after="200" w:before="360"/>
      </w:pPr>
      <w:r>
        <w:rPr>
          <w:rFonts w:ascii="Arial" w:cs="Arial" w:eastAsia="SimSun" w:hAnsi="Arial"/>
          <w:b/>
          <w:bCs/>
          <w:color w:val="1F3864"/>
          <w:sz w:val="32"/>
          <w:szCs w:val="32"/>
        </w:rPr>
        <w:t xml:space="preserve">8.  投资者要点</w:t>
      </w:r>
    </w:p>
    <w:p>
      <w:pPr>
        <w:pStyle w:val="ListParagraph"/>
        <w:numPr>
          <w:ilvl w:val="0"/>
          <w:numId w:val="2"/>
        </w:numPr>
        <w:spacing w:after="120" w:line="276"/>
      </w:pPr>
      <w:r>
        <w:rPr>
          <w:rFonts w:ascii="Arial" w:cs="Arial" w:eastAsia="SimSun" w:hAnsi="Arial"/>
          <w:b/>
          <w:bCs/>
          <w:sz w:val="22"/>
          <w:szCs w:val="22"/>
        </w:rPr>
        <w:t xml:space="preserve">这门生意的本质。</w:t>
      </w:r>
      <w:r>
        <w:rPr>
          <w:rFonts w:ascii="Arial" w:cs="Arial" w:eastAsia="SimSun" w:hAnsi="Arial"/>
          <w:sz w:val="22"/>
          <w:szCs w:val="22"/>
        </w:rPr>
        <w:t xml:space="preserve">这已不再是一家碰巧拥有云业务的广告公司。它是一门正在为人工智能基础设施业务的建设提供资金的广告生意，而这项建设的规模已经大到足以决定报告数字。</w:t>
      </w:r>
    </w:p>
    <w:p>
      <w:pPr>
        <w:pStyle w:val="ListParagraph"/>
        <w:numPr>
          <w:ilvl w:val="0"/>
          <w:numId w:val="2"/>
        </w:numPr>
        <w:spacing w:after="120" w:line="276"/>
      </w:pPr>
      <w:r>
        <w:rPr>
          <w:rFonts w:ascii="Arial" w:cs="Arial" w:eastAsia="SimSun" w:hAnsi="Arial"/>
          <w:b/>
          <w:bCs/>
          <w:sz w:val="22"/>
          <w:szCs w:val="22"/>
        </w:rPr>
        <w:t xml:space="preserve">核心经济引擎。</w:t>
      </w:r>
      <w:r>
        <w:rPr>
          <w:rFonts w:ascii="Arial" w:cs="Arial" w:eastAsia="SimSun" w:hAnsi="Arial"/>
          <w:sz w:val="22"/>
          <w:szCs w:val="22"/>
        </w:rPr>
        <w:t xml:space="preserve">一个在扣除分发成本后留存每一美元广告收入中约80美分、并将每一美元收入中的42美分转化为营业利润的拍卖系统，外加一门现在转化36美分、增速82%的云业务。</w:t>
      </w:r>
    </w:p>
    <w:p>
      <w:pPr>
        <w:pStyle w:val="ListParagraph"/>
        <w:numPr>
          <w:ilvl w:val="0"/>
          <w:numId w:val="2"/>
        </w:numPr>
        <w:spacing w:after="120" w:line="276"/>
      </w:pPr>
      <w:r>
        <w:rPr>
          <w:rFonts w:ascii="Arial" w:cs="Arial" w:eastAsia="SimSun" w:hAnsi="Arial"/>
          <w:b/>
          <w:bCs/>
          <w:sz w:val="22"/>
          <w:szCs w:val="22"/>
        </w:rPr>
        <w:t xml:space="preserve">主要增长杠杆。</w:t>
      </w:r>
      <w:r>
        <w:rPr>
          <w:rFonts w:ascii="Arial" w:cs="Arial" w:eastAsia="SimSun" w:hAnsi="Arial"/>
          <w:sz w:val="22"/>
          <w:szCs w:val="22"/>
        </w:rPr>
        <w:t xml:space="preserve">5,139亿美元已签约云业务收入积压的转化，其中约一半计划在24个月内实现。近期云业务增长在很大程度上已经卖出去了；约束在于交付。</w:t>
      </w:r>
    </w:p>
    <w:p>
      <w:pPr>
        <w:pStyle w:val="ListParagraph"/>
        <w:numPr>
          <w:ilvl w:val="0"/>
          <w:numId w:val="2"/>
        </w:numPr>
        <w:spacing w:after="120" w:line="276"/>
      </w:pPr>
      <w:r>
        <w:rPr>
          <w:rFonts w:ascii="Arial" w:cs="Arial" w:eastAsia="SimSun" w:hAnsi="Arial"/>
          <w:b/>
          <w:bCs/>
          <w:sz w:val="22"/>
          <w:szCs w:val="22"/>
        </w:rPr>
        <w:t xml:space="preserve">什么可能打破这个故事。</w:t>
      </w:r>
      <w:r>
        <w:rPr>
          <w:rFonts w:ascii="Arial" w:cs="Arial" w:eastAsia="SimSun" w:hAnsi="Arial"/>
          <w:sz w:val="22"/>
          <w:szCs w:val="22"/>
        </w:rPr>
        <w:t xml:space="preserve">按六年年限计提的折旧到来的速度快于足以支撑它的利用率，与此同时回购停止、股数上升。这一组合使得收入增长而每股收益下降成为一种算术上的可能，而不只是一种看空观点。</w:t>
      </w:r>
    </w:p>
    <w:p>
      <w:pPr>
        <w:pStyle w:val="ListParagraph"/>
        <w:numPr>
          <w:ilvl w:val="0"/>
          <w:numId w:val="2"/>
        </w:numPr>
        <w:spacing w:after="120" w:line="276"/>
      </w:pPr>
      <w:r>
        <w:rPr>
          <w:rFonts w:ascii="Arial" w:cs="Arial" w:eastAsia="SimSun" w:hAnsi="Arial"/>
          <w:b/>
          <w:bCs/>
          <w:sz w:val="22"/>
          <w:szCs w:val="22"/>
        </w:rPr>
        <w:t xml:space="preserve">需要监测什么。</w:t>
      </w:r>
      <w:r>
        <w:rPr>
          <w:rFonts w:ascii="Arial" w:cs="Arial" w:eastAsia="SimSun" w:hAnsi="Arial"/>
          <w:sz w:val="22"/>
          <w:szCs w:val="22"/>
        </w:rPr>
        <w:t xml:space="preserve">云业务收入积压的季度净增额，2026年第一季度至第二季度已从约2,200亿美元降至540亿美元；付费点击增速，目前为13%；以及折旧占收入的比重。</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SimSun" w:hAnsi="Arial"/>
        <w:color w:val="888888"/>
        <w:sz w:val="16"/>
        <w:szCs w:val="16"/>
      </w:rPr>
      <w:t xml:space="preserve">Alphabet Inc. — 业务概览          </w:t>
    </w:r>
    <w:r>
      <w:rPr>
        <w:rFonts w:ascii="Arial" w:cs="Arial" w:eastAsia="SimSun"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SimSun" w:hAnsi="Arial"/>
      <w:b/>
      <w:bCs/>
      <w:color w:val="1F3864"/>
      <w:sz w:val="32"/>
      <w:szCs w:val="32"/>
    </w:rPr>
  </w:style>
  <w:style w:type="paragraph" w:styleId="Heading2">
    <w:name w:val="Heading 2"/>
    <w:basedOn w:val="Normal"/>
    <w:next w:val="Normal"/>
    <w:qFormat/>
    <w:pPr>
      <w:spacing w:after="180" w:before="180"/>
    </w:pPr>
    <w:rPr>
      <w:rFonts w:ascii="Arial" w:cs="Arial" w:eastAsia="SimSun"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Arial" w:cs="Arial" w:eastAsia="SimSun" w:hAnsi="Arial"/>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业务概览：Alphabet Inc.</dc:title>
  <dc:creator>Business Overview</dc:creator>
  <cp:lastModifiedBy>Un-named</cp:lastModifiedBy>
  <cp:revision>1</cp:revision>
  <dcterms:created xsi:type="dcterms:W3CDTF">2026-09-07T02:04:11.622Z</dcterms:created>
  <dcterms:modified xsi:type="dcterms:W3CDTF">2026-09-07T02:04:11.622Z</dcterms:modified>
</cp:coreProperties>
</file>

<file path=docProps/custom.xml><?xml version="1.0" encoding="utf-8"?>
<Properties xmlns="http://schemas.openxmlformats.org/officeDocument/2006/custom-properties" xmlns:vt="http://schemas.openxmlformats.org/officeDocument/2006/docPropsVTypes"/>
</file>