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Arial" w:cs="Arial" w:eastAsia="Arial" w:hAnsi="Arial"/>
          <w:b/>
          <w:bCs/>
          <w:color w:val="1F3864"/>
          <w:sz w:val="52"/>
          <w:szCs w:val="52"/>
        </w:rPr>
        <w:t xml:space="preserve">Business Overview</w:t>
      </w:r>
    </w:p>
    <w:p>
      <w:pPr>
        <w:spacing w:after="400"/>
      </w:pPr>
      <w:r>
        <w:rPr>
          <w:rFonts w:ascii="Arial" w:cs="Arial" w:eastAsia="Arial" w:hAnsi="Arial"/>
          <w:b/>
          <w:bCs/>
          <w:color w:val="2B2B2B"/>
          <w:sz w:val="40"/>
          <w:szCs w:val="40"/>
        </w:rPr>
        <w:t xml:space="preserve">Apple Inc. (NASDAQ: AAPL)</w:t>
      </w:r>
    </w:p>
    <w:p>
      <w:pPr>
        <w:pBdr>
          <w:top w:val="single" w:color="C75B39" w:sz="12"/>
        </w:pBdr>
        <w:spacing w:after="600"/>
      </w:pPr>
      <w:r>
        <w:t xml:space="preserve"/>
      </w:r>
    </w:p>
    <w:p>
      <w:pPr>
        <w:spacing w:after="160" w:line="276"/>
      </w:pPr>
      <w:r>
        <w:rPr>
          <w:rFonts w:ascii="Arial" w:cs="Arial" w:eastAsia="Arial" w:hAnsi="Arial"/>
          <w:b/>
          <w:bCs/>
          <w:sz w:val="24"/>
          <w:szCs w:val="24"/>
        </w:rPr>
        <w:t xml:space="preserve">5 September 2026</w:t>
      </w:r>
    </w:p>
    <w:p>
      <w:pPr>
        <w:spacing w:after="160" w:line="276"/>
      </w:pPr>
      <w:r>
        <w:rPr>
          <w:rFonts w:ascii="Arial" w:cs="Arial" w:eastAsia="Arial" w:hAnsi="Arial"/>
          <w:sz w:val="20"/>
          <w:szCs w:val="20"/>
        </w:rPr>
        <w:t xml:space="preserve">Evidence base: Apple SEC filings held in the analyst research folder — FY2021 to FY2025 Forms 10-K, Forms 10-Q through the quarter ended 27 June 2026 (FY2026 Q3), DEF 14A proxies through January 2026, and Item 5.02 Forms 8-K through 1 September 2026. Industry structure is drawn from independent sources: IDC, Counterpoint Research, Omdia, TrendForce, the European Commission, US federal court records, and the filings of Samsung Electronics, Xiaomi, Alphabet, Micron, SK hynix and TSMC.</w:t>
      </w:r>
    </w:p>
    <w:p>
      <w:pPr>
        <w:spacing w:after="160" w:line="276"/>
      </w:pPr>
      <w:r>
        <w:rPr>
          <w:rFonts w:ascii="Arial" w:cs="Arial" w:eastAsia="Arial" w:hAnsi="Arial"/>
          <w:i/>
          <w:iCs/>
          <w:sz w:val="20"/>
          <w:szCs w:val="20"/>
        </w:rPr>
        <w:t xml:space="preserve">This document explains how the business works and what drives its economics. It is not a valuation, contains no price target, and is not a recommendation.</w:t>
      </w:r>
    </w:p>
    <w:p>
      <w:r>
        <w:br w:type="page"/>
      </w:r>
    </w:p>
    <w:p>
      <w:pPr>
        <w:pStyle w:val="Heading1"/>
        <w:spacing w:after="200" w:before="360"/>
      </w:pPr>
      <w:r>
        <w:rPr>
          <w:rFonts w:ascii="Arial" w:cs="Arial" w:eastAsia="Arial" w:hAnsi="Arial"/>
          <w:b/>
          <w:bCs/>
          <w:color w:val="1F3864"/>
          <w:sz w:val="32"/>
          <w:szCs w:val="32"/>
        </w:rPr>
        <w:t xml:space="preserve">1. Executive Snapshot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760"/>
      </w:tblGrid>
      <w:tr>
        <w:tc>
          <w:tcPr>
            <w:tcW w:type="dxa" w:w="2600"/>
            <w:shd w:fill="F2F2F2"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What the business is</w:t>
            </w:r>
          </w:p>
        </w:tc>
        <w:tc>
          <w:tcPr>
            <w:tcW w:type="dxa" w:w="6760"/>
            <w:tcMar>
              <w:top w:type="dxa" w:w="80"/>
              <w:left w:type="dxa" w:w="120"/>
              <w:bottom w:type="dxa" w:w="80"/>
              <w:right w:type="dxa" w:w="120"/>
            </w:tcMar>
          </w:tcPr>
          <w:p>
            <w:pPr>
              <w:spacing w:after="0" w:line="264"/>
              <w:jc w:val="left"/>
            </w:pPr>
            <w:r>
              <w:rPr>
                <w:rFonts w:ascii="Arial" w:cs="Arial" w:eastAsia="Arial" w:hAnsi="Arial"/>
                <w:sz w:val="20"/>
                <w:szCs w:val="20"/>
              </w:rPr>
              <w:t xml:space="preserve">A designer and integrator of consumer computing devices that monetises twice: once on the hardware sale, and then continuously on the installed base the sale creates.</w:t>
            </w:r>
          </w:p>
        </w:tc>
      </w:tr>
      <w:tr>
        <w:tc>
          <w:tcPr>
            <w:tcW w:type="dxa" w:w="2600"/>
            <w:shd w:fill="F2F2F2"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Industry</w:t>
            </w:r>
          </w:p>
        </w:tc>
        <w:tc>
          <w:tcPr>
            <w:tcW w:type="dxa" w:w="6760"/>
            <w:tcMar>
              <w:top w:type="dxa" w:w="80"/>
              <w:left w:type="dxa" w:w="120"/>
              <w:bottom w:type="dxa" w:w="80"/>
              <w:right w:type="dxa" w:w="120"/>
            </w:tcMar>
          </w:tcPr>
          <w:p>
            <w:pPr>
              <w:spacing w:after="0" w:line="264"/>
              <w:jc w:val="left"/>
            </w:pPr>
            <w:r>
              <w:rPr>
                <w:rFonts w:ascii="Arial" w:cs="Arial" w:eastAsia="Arial" w:hAnsi="Arial"/>
                <w:sz w:val="20"/>
                <w:szCs w:val="20"/>
              </w:rPr>
              <w:t xml:space="preserve">Premium smartphones and personal computing hardware, plus the digital services layer distributed through them.</w:t>
            </w:r>
          </w:p>
        </w:tc>
      </w:tr>
      <w:tr>
        <w:tc>
          <w:tcPr>
            <w:tcW w:type="dxa" w:w="2600"/>
            <w:shd w:fill="F2F2F2"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How it makes money</w:t>
            </w:r>
          </w:p>
        </w:tc>
        <w:tc>
          <w:tcPr>
            <w:tcW w:type="dxa" w:w="6760"/>
            <w:tcMar>
              <w:top w:type="dxa" w:w="80"/>
              <w:left w:type="dxa" w:w="120"/>
              <w:bottom w:type="dxa" w:w="80"/>
              <w:right w:type="dxa" w:w="120"/>
            </w:tcMar>
          </w:tcPr>
          <w:p>
            <w:pPr>
              <w:spacing w:after="0" w:line="264"/>
              <w:jc w:val="left"/>
            </w:pPr>
            <w:r>
              <w:rPr>
                <w:rFonts w:ascii="Arial" w:cs="Arial" w:eastAsia="Arial" w:hAnsi="Arial"/>
                <w:sz w:val="20"/>
                <w:szCs w:val="20"/>
              </w:rPr>
              <w:t xml:space="preserve">It sells a device at roughly three-and-a-half times the industry average price and at a 40% product gross margin, then earns a 76%-margin annuity from the App Store, advertising, cloud, payments, licensing and subscriptions attached to that device for as long as it stays in use.</w:t>
            </w:r>
          </w:p>
        </w:tc>
      </w:tr>
      <w:tr>
        <w:tc>
          <w:tcPr>
            <w:tcW w:type="dxa" w:w="2600"/>
            <w:shd w:fill="F2F2F2"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Unit of economics</w:t>
            </w:r>
          </w:p>
        </w:tc>
        <w:tc>
          <w:tcPr>
            <w:tcW w:type="dxa" w:w="6760"/>
            <w:tcMar>
              <w:top w:type="dxa" w:w="80"/>
              <w:left w:type="dxa" w:w="120"/>
              <w:bottom w:type="dxa" w:w="80"/>
              <w:right w:type="dxa" w:w="120"/>
            </w:tcMar>
          </w:tcPr>
          <w:p>
            <w:pPr>
              <w:spacing w:after="0" w:line="264"/>
              <w:jc w:val="left"/>
            </w:pPr>
            <w:r>
              <w:rPr>
                <w:rFonts w:ascii="Arial" w:cs="Arial" w:eastAsia="Arial" w:hAnsi="Arial"/>
                <w:sz w:val="20"/>
                <w:szCs w:val="20"/>
              </w:rPr>
              <w:t xml:space="preserve">One iPhone — sold at a $946 average price (Counterpoint, Q2 2026) and becoming one of more than 2.5 billion active Apple devices (Q1 FY2026 press release).</w:t>
            </w:r>
          </w:p>
        </w:tc>
      </w:tr>
      <w:tr>
        <w:tc>
          <w:tcPr>
            <w:tcW w:type="dxa" w:w="2600"/>
            <w:shd w:fill="F2F2F2"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What protects it</w:t>
            </w:r>
          </w:p>
        </w:tc>
        <w:tc>
          <w:tcPr>
            <w:tcW w:type="dxa" w:w="6760"/>
            <w:tcMar>
              <w:top w:type="dxa" w:w="80"/>
              <w:left w:type="dxa" w:w="120"/>
              <w:bottom w:type="dxa" w:w="80"/>
              <w:right w:type="dxa" w:w="120"/>
            </w:tcMar>
          </w:tcPr>
          <w:p>
            <w:pPr>
              <w:spacing w:after="0" w:line="264"/>
              <w:jc w:val="left"/>
            </w:pPr>
            <w:r>
              <w:rPr>
                <w:rFonts w:ascii="Arial" w:cs="Arial" w:eastAsia="Arial" w:hAnsi="Arial"/>
                <w:sz w:val="20"/>
                <w:szCs w:val="20"/>
              </w:rPr>
              <w:t xml:space="preserve">Ownership of the silicon, the operating system and the distribution layer at once. No competitor holds all three, which is why Apple could hold price through the 2026 component shock while rivals could not.</w:t>
            </w:r>
          </w:p>
        </w:tc>
      </w:tr>
      <w:tr>
        <w:tc>
          <w:tcPr>
            <w:tcW w:type="dxa" w:w="2600"/>
            <w:shd w:fill="F2F2F2"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What drives earnings</w:t>
            </w:r>
          </w:p>
        </w:tc>
        <w:tc>
          <w:tcPr>
            <w:tcW w:type="dxa" w:w="6760"/>
            <w:tcMar>
              <w:top w:type="dxa" w:w="80"/>
              <w:left w:type="dxa" w:w="120"/>
              <w:bottom w:type="dxa" w:w="80"/>
              <w:right w:type="dxa" w:w="120"/>
            </w:tcMar>
          </w:tcPr>
          <w:p>
            <w:pPr>
              <w:spacing w:after="0" w:line="264"/>
              <w:jc w:val="left"/>
            </w:pPr>
            <w:r>
              <w:rPr>
                <w:rFonts w:ascii="Arial" w:cs="Arial" w:eastAsia="Arial" w:hAnsi="Arial"/>
                <w:sz w:val="20"/>
                <w:szCs w:val="20"/>
              </w:rPr>
              <w:t xml:space="preserve">(1) iPhone mix and average selling price; (2) Services revenue at a 76% gross margin; (3) the delivered cost of memory and advanced logic.</w:t>
            </w:r>
          </w:p>
        </w:tc>
      </w:tr>
      <w:tr>
        <w:tc>
          <w:tcPr>
            <w:tcW w:type="dxa" w:w="2600"/>
            <w:shd w:fill="F2F2F2"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What to watch</w:t>
            </w:r>
          </w:p>
        </w:tc>
        <w:tc>
          <w:tcPr>
            <w:tcW w:type="dxa" w:w="6760"/>
            <w:tcMar>
              <w:top w:type="dxa" w:w="80"/>
              <w:left w:type="dxa" w:w="120"/>
              <w:bottom w:type="dxa" w:w="80"/>
              <w:right w:type="dxa" w:w="120"/>
            </w:tcMar>
          </w:tcPr>
          <w:p>
            <w:pPr>
              <w:spacing w:after="0" w:line="264"/>
              <w:jc w:val="left"/>
            </w:pPr>
            <w:r>
              <w:rPr>
                <w:rFonts w:ascii="Arial" w:cs="Arial" w:eastAsia="Arial" w:hAnsi="Arial"/>
                <w:sz w:val="20"/>
                <w:szCs w:val="20"/>
              </w:rPr>
              <w:t xml:space="preserve">(1) DRAM and NAND contract prices; (2) the US District Court ruling that sets Apple’s commission on external App Store purchases; (3) the DC Circuit appeal that could ban Google’s payments to Apple for default search placement.</w:t>
            </w:r>
          </w:p>
        </w:tc>
      </w:tr>
      <w:tr>
        <w:tc>
          <w:tcPr>
            <w:tcW w:type="dxa" w:w="2600"/>
            <w:shd w:fill="F2F2F2"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Cycle exposure</w:t>
            </w:r>
          </w:p>
        </w:tc>
        <w:tc>
          <w:tcPr>
            <w:tcW w:type="dxa" w:w="6760"/>
            <w:tcMar>
              <w:top w:type="dxa" w:w="80"/>
              <w:left w:type="dxa" w:w="120"/>
              <w:bottom w:type="dxa" w:w="80"/>
              <w:right w:type="dxa" w:w="120"/>
            </w:tcMar>
          </w:tcPr>
          <w:p>
            <w:pPr>
              <w:spacing w:after="0" w:line="264"/>
              <w:jc w:val="left"/>
            </w:pPr>
            <w:r>
              <w:rPr>
                <w:rFonts w:ascii="Arial" w:cs="Arial" w:eastAsia="Arial" w:hAnsi="Arial"/>
                <w:sz w:val="20"/>
                <w:szCs w:val="20"/>
              </w:rPr>
              <w:t xml:space="preserve">Input costs: high, and currently adverse. End demand: moderate — Apple’s unit volumes are forecast to fall 1.3% in 2026 against 24.3% for Android (IDC, August 2026).</w:t>
            </w:r>
          </w:p>
        </w:tc>
      </w:tr>
    </w:tbl>
    <w:p>
      <w:pPr>
        <w:spacing w:after="200" w:before="100" w:line="264"/>
      </w:pPr>
      <w:r>
        <w:rPr>
          <w:rFonts w:ascii="Arial" w:cs="Arial" w:eastAsia="Arial" w:hAnsi="Arial"/>
          <w:i/>
          <w:iCs/>
          <w:color w:val="595959"/>
          <w:sz w:val="18"/>
          <w:szCs w:val="18"/>
        </w:rPr>
        <w:t xml:space="preserve">All figures in this document are US dollars. Apple’s fiscal year ends in late September; FY2026 Q3 ended 27 June 2026.</w:t>
      </w:r>
    </w:p>
    <w:p>
      <w:r>
        <w:br w:type="page"/>
      </w:r>
    </w:p>
    <w:p>
      <w:pPr>
        <w:pStyle w:val="Heading1"/>
        <w:spacing w:after="200" w:before="360"/>
      </w:pPr>
      <w:r>
        <w:rPr>
          <w:rFonts w:ascii="Arial" w:cs="Arial" w:eastAsia="Arial" w:hAnsi="Arial"/>
          <w:b/>
          <w:bCs/>
          <w:color w:val="1F3864"/>
          <w:sz w:val="32"/>
          <w:szCs w:val="32"/>
        </w:rPr>
        <w:t xml:space="preserve">2. What the Company Does</w:t>
      </w:r>
    </w:p>
    <w:p>
      <w:pPr>
        <w:spacing w:after="160" w:line="276"/>
      </w:pPr>
      <w:r>
        <w:rPr>
          <w:rFonts w:ascii="Arial" w:cs="Arial" w:eastAsia="Arial" w:hAnsi="Arial"/>
          <w:sz w:val="22"/>
          <w:szCs w:val="22"/>
        </w:rPr>
        <w:t xml:space="preserve">The customer problem Apple solves is not a shortage of computing power. It is the cost of assembling computing power into something that works. A buyer who wants a phone, a laptop, a watch and a set of headphones that share files, calls, passwords, payments and photographs without configuration has, in practice, one supplier who will sell all of it as a single designed system. Apple charges a very large premium for removing that assembly problem, and the premium is the business.</w:t>
      </w:r>
    </w:p>
    <w:p>
      <w:pPr>
        <w:pStyle w:val="Heading2"/>
        <w:spacing w:after="180" w:before="180"/>
      </w:pPr>
      <w:r>
        <w:rPr>
          <w:rFonts w:ascii="Arial" w:cs="Arial" w:eastAsia="Arial" w:hAnsi="Arial"/>
          <w:b/>
          <w:bCs/>
          <w:color w:val="1F3864"/>
          <w:sz w:val="28"/>
          <w:szCs w:val="28"/>
        </w:rPr>
        <w:t xml:space="preserve">The unit, traced from silicon to cash</w:t>
      </w:r>
    </w:p>
    <w:p>
      <w:pPr>
        <w:spacing w:after="160" w:line="276"/>
      </w:pPr>
      <w:r>
        <w:rPr>
          <w:rFonts w:ascii="Arial" w:cs="Arial" w:eastAsia="Arial" w:hAnsi="Arial"/>
          <w:sz w:val="22"/>
          <w:szCs w:val="22"/>
        </w:rPr>
        <w:t xml:space="preserve">The unit of economics is one iPhone. Trace a single one. Apple designs the processor itself and has it fabricated by TSMC on a leading-edge node; TSMC earned a 67.7% gross margin in the June 2026 quarter with 77% of its wafer revenue from 7nm and below, so this is expensive but contractually stable supply (TSMC Q2 2026 results). Apple buys memory, displays, cameras and radios from outside suppliers, many of them single-sourced — its FY2025 10-K states that new products "often utilize custom components available from only one source." Final assembly is performed by outsourcing partners located primarily in China mainland, India, Japan, South Korea, Taiwan and Vietnam (FY2025 10-K).</w:t>
      </w:r>
    </w:p>
    <w:p>
      <w:pPr>
        <w:spacing w:after="160" w:line="276"/>
      </w:pPr>
      <w:r>
        <w:rPr>
          <w:rFonts w:ascii="Arial" w:cs="Arial" w:eastAsia="Arial" w:hAnsi="Arial"/>
          <w:sz w:val="22"/>
          <w:szCs w:val="22"/>
        </w:rPr>
        <w:t xml:space="preserve">The finished phone sells at an average of $946 (Counterpoint, Q2 CY2026), against a global industry average of $400 and a Samsung average of roughly $270. Sixty per cent of it moves through indirect channels — carriers, resellers and retailers — and 40% through Apple’s own stores and website (FY2025 10-K). Apple collects the cash quickly: at 27 June 2026 receivables stood at $31.4bn against trailing revenue of $466.8bn, while accounts payable of $69.9bn at the prior year-end exceeded receivables outright. Suppliers finance the working capital; the customer does not.</w:t>
      </w:r>
    </w:p>
    <w:p>
      <w:pPr>
        <w:spacing w:after="160" w:line="276"/>
      </w:pPr>
      <w:r>
        <w:rPr>
          <w:rFonts w:ascii="Arial" w:cs="Arial" w:eastAsia="Arial" w:hAnsi="Arial"/>
          <w:sz w:val="22"/>
          <w:szCs w:val="22"/>
        </w:rPr>
        <w:t xml:space="preserve">Apple earns roughly 40 cents of gross profit on each dollar of hardware — Products gross margin was 40.1% in Q3 FY2026 and 39.9% across the first nine months (FY2026 Q3 10-Q). Applied to the $946 average price, that is approximately $379 of gross profit per iPhone (inferred: the 40.1% is Apple’s whole Products line, including Mac, iPad and Wearables, so this is an approximation rather than a disclosed unit margin).</w:t>
      </w:r>
    </w:p>
    <w:p>
      <w:pPr>
        <w:pStyle w:val="Heading2"/>
        <w:spacing w:after="180" w:before="180"/>
      </w:pPr>
      <w:r>
        <w:rPr>
          <w:rFonts w:ascii="Arial" w:cs="Arial" w:eastAsia="Arial" w:hAnsi="Arial"/>
          <w:b/>
          <w:bCs/>
          <w:color w:val="1F3864"/>
          <w:sz w:val="28"/>
          <w:szCs w:val="28"/>
        </w:rPr>
        <w:t xml:space="preserve">The second sale, which is the more important one</w:t>
      </w:r>
    </w:p>
    <w:p>
      <w:pPr>
        <w:spacing w:after="160" w:line="276"/>
      </w:pPr>
      <w:r>
        <w:rPr>
          <w:rFonts w:ascii="Arial" w:cs="Arial" w:eastAsia="Arial" w:hAnsi="Arial"/>
          <w:sz w:val="22"/>
          <w:szCs w:val="22"/>
        </w:rPr>
        <w:t xml:space="preserve">The phone then becomes an active device, and stays one for roughly three and a half years — the global replacement cycle was 43.0 months in 2024 (Counterpoint, November 2025). Apple has said its installed base exceeds 2.5 billion active devices and that paid subscriptions surpassed 1.5 billion (Q1 FY2026 press release; Q3 FY2026 earnings call). Counterpoint independently estimates more than one billion active iPhones, or nearly one in four active smartphones worldwide (February 2026).</w:t>
      </w:r>
    </w:p>
    <w:p>
      <w:pPr>
        <w:spacing w:after="160" w:line="276"/>
      </w:pPr>
      <w:r>
        <w:rPr>
          <w:rFonts w:ascii="Arial" w:cs="Arial" w:eastAsia="Arial" w:hAnsi="Arial"/>
          <w:sz w:val="22"/>
          <w:szCs w:val="22"/>
        </w:rPr>
        <w:t xml:space="preserve">Against that base Apple earned $120.5bn of Services revenue in the twelve months to June 2026 at a 75.6% gross margin — approximately $48 per active device per year, of which about $37 is gross profit (computed from the FY2025 10-K, the FY2026 Q3 10-Q and Apple’s stated device count). Services is 25.8% of revenue and 40.3% of gross profit. That gap is the whole architecture of the company: the hardware sale is the customer-acquisition cost of an annuity Apple does not have to pay to acquire.</w:t>
      </w:r>
    </w:p>
    <w:p>
      <w:pPr>
        <w:spacing w:after="160" w:line="276"/>
      </w:pPr>
      <w:r>
        <w:rPr>
          <w:rFonts w:ascii="Arial" w:cs="Arial" w:eastAsia="Arial" w:hAnsi="Arial"/>
          <w:sz w:val="22"/>
          <w:szCs w:val="22"/>
        </w:rPr>
        <w:t xml:space="preserve">Services is not one business. It contains the App Store commission; advertising; iCloud storage; Apple Music, TV+ and Arcade subscriptions; AppleCare; payment services; and licensing arrangements — chiefly the agreement under which Google pays for default search placement in Safari. Apple discloses none of these separately. The FY2025 10-K attributes Services growth to "advertising, the App Store and cloud services"; the FY2026 Q3 10-Q attributes it to "advertising and cloud services" and drops the App Store from the list of drivers. That omission is the only signal in the filings that the App Store may have stopped contributing.</w:t>
      </w:r>
    </w:p>
    <w:p>
      <w:pPr>
        <w:pStyle w:val="Heading2"/>
        <w:spacing w:after="180" w:before="180"/>
      </w:pPr>
      <w:r>
        <w:rPr>
          <w:rFonts w:ascii="Arial" w:cs="Arial" w:eastAsia="Arial" w:hAnsi="Arial"/>
          <w:b/>
          <w:bCs/>
          <w:color w:val="1F3864"/>
          <w:sz w:val="28"/>
          <w:szCs w:val="28"/>
        </w:rPr>
        <w:t xml:space="preserve">Where the product lines are moving</w:t>
      </w:r>
    </w:p>
    <w:p>
      <w:pPr>
        <w:spacing w:after="160" w:line="276"/>
      </w:pPr>
      <w:r>
        <w:rPr>
          <w:rFonts w:ascii="Arial" w:cs="Arial" w:eastAsia="Arial" w:hAnsi="Arial"/>
          <w:sz w:val="22"/>
          <w:szCs w:val="22"/>
        </w:rPr>
        <w:t xml:space="preserve">The mix has narrowed toward iPhone and Services and away from everything else. In the nine months to June 2026, iPhone contributed 71% of Apple’s total revenue growth and Services 22% — together 93%. Mac, iPad and Wearables together contributed the remaining 7% on a base of $76bn. Wearables, Home and Accessories declined for three consecutive fiscal years, from $39.8bn in FY2023 to $35.7bn in FY2025, before returning to modest growth in FY2026. Independent category data is consistent: Apple lost TWS earbud unit share in 2024 (down 6.5%, Canalys) and recorded its first smartwatch shipment growth since 2022 only in 2025 (Counterpoint, February 2026).</w:t>
      </w:r>
    </w:p>
    <w:p>
      <w:pPr>
        <w:spacing w:after="160" w:line="276"/>
      </w:pPr>
      <w:r>
        <w:rPr>
          <w:rFonts w:ascii="Arial" w:cs="Arial" w:eastAsia="Arial" w:hAnsi="Arial"/>
          <w:sz w:val="22"/>
          <w:szCs w:val="22"/>
        </w:rPr>
        <w:t xml:space="preserve">Apple has entered no new hardware category at scale. Vision Pro shipped an estimated 45,000 units in 2025 against roughly 390,000 in 2024 (IDC via press reporting). Meanwhile the display-less AI-glasses category grew to 2.25 million units in a single quarter, Q1 2026, up 167% year on year, with Meta holding 69% of it and Apple absent from IDC’s vendor table entirely. That is the clearest gap in the product line and it is a gap in a category that is forming now.</w:t>
      </w:r>
    </w:p>
    <w:p>
      <w:r>
        <w:br w:type="page"/>
      </w:r>
    </w:p>
    <w:p>
      <w:pPr>
        <w:pStyle w:val="Heading1"/>
        <w:spacing w:after="200" w:before="360"/>
      </w:pPr>
      <w:r>
        <w:rPr>
          <w:rFonts w:ascii="Arial" w:cs="Arial" w:eastAsia="Arial" w:hAnsi="Arial"/>
          <w:b/>
          <w:bCs/>
          <w:color w:val="1F3864"/>
          <w:sz w:val="32"/>
          <w:szCs w:val="32"/>
        </w:rPr>
        <w:t xml:space="preserve">3. Industry, Competitive Position and Moat</w:t>
      </w:r>
    </w:p>
    <w:p>
      <w:pPr>
        <w:spacing w:after="160" w:line="276"/>
      </w:pPr>
      <w:r>
        <w:rPr>
          <w:rFonts w:ascii="Arial" w:cs="Arial" w:eastAsia="Arial" w:hAnsi="Arial"/>
          <w:sz w:val="22"/>
          <w:szCs w:val="22"/>
        </w:rPr>
        <w:t xml:space="preserve">The smartphone industry inverted in 2026, and no assessment of Apple’s position written on pre-2026 assumptions survives it. IDC forecasts global unit shipments to fall 16.7% this year to just over one billion — "the steepest annual contraction the industry has ever recorded" — while total market value rises 6.3% to $613bn on a 27.6% increase in average selling price (IDC, 26 August 2026). Units are collapsing and revenue is growing. Any framing of Apple built on unit share now describes the wrong variable.</w:t>
      </w:r>
    </w:p>
    <w:p>
      <w:pPr>
        <w:pStyle w:val="Heading2"/>
        <w:spacing w:after="180" w:before="180"/>
      </w:pPr>
      <w:r>
        <w:rPr>
          <w:rFonts w:ascii="Arial" w:cs="Arial" w:eastAsia="Arial" w:hAnsi="Arial"/>
          <w:b/>
          <w:bCs/>
          <w:color w:val="1F3864"/>
          <w:sz w:val="28"/>
          <w:szCs w:val="28"/>
        </w:rPr>
        <w:t xml:space="preserve">Where the profit sits</w:t>
      </w:r>
    </w:p>
    <w:p>
      <w:pPr>
        <w:spacing w:after="160" w:line="276"/>
      </w:pPr>
      <w:r>
        <w:rPr>
          <w:rFonts w:ascii="Arial" w:cs="Arial" w:eastAsia="Arial" w:hAnsi="Arial"/>
          <w:sz w:val="22"/>
          <w:szCs w:val="22"/>
        </w:rPr>
        <w:t xml:space="preserve">Apple sold roughly 21% of the world’s smartphones in the June 2026 quarter and captured 49% of the industry’s revenue, its highest-ever second-quarter share, on an average selling price of $946 (Counterpoint, 31 July 2026). In the premium tier — wholesale price of $600 or above, now 29% of the whole market — Apple holds 65% and Samsung 19% (Counterpoint, August 2026).</w:t>
      </w:r>
    </w:p>
    <w:p>
      <w:pPr>
        <w:spacing w:after="160" w:line="276"/>
      </w:pPr>
      <w:r>
        <w:rPr>
          <w:rFonts w:ascii="Arial" w:cs="Arial" w:eastAsia="Arial" w:hAnsi="Arial"/>
          <w:sz w:val="22"/>
          <w:szCs w:val="22"/>
        </w:rPr>
        <w:t xml:space="preserve">The profit picture is starker still, and it is established by competitors’ own filings rather than by a tracker estimate. Samsung Electronics posted record group operating profit of KRW 89.5tn in Q2 2026 — and its Mobile eXperience division, the world’s largest smartphone business by units, lost KRW 0.7tn on KRW 33.2tn of revenue (Samsung, 30 July 2026). Effectively all of Samsung’s record profit came from selling memory to the industry, not from selling phones. Xiaomi’s smartphone gross margin fell from 12.4% to 10.1% to 8.5% across three quarters as component prices rose (Xiaomi Q1 and Q2 2026 results). Against these, Apple’s 48.7% company gross margin and 33.2% operating margin are not an incremental advantage. They are a different order of business.</w:t>
      </w:r>
    </w:p>
    <w:p>
      <w:pPr>
        <w:spacing w:after="200" w:before="100" w:line="264"/>
      </w:pPr>
      <w:r>
        <w:rPr>
          <w:rFonts w:ascii="Arial" w:cs="Arial" w:eastAsia="Arial" w:hAnsi="Arial"/>
          <w:i/>
          <w:iCs/>
          <w:color w:val="595959"/>
          <w:sz w:val="18"/>
          <w:szCs w:val="18"/>
        </w:rPr>
        <w:t xml:space="preserve">Counterpoint last published an industry operating-profit-share figure for Q3 2019 (Apple 66%). No current figure could be verified, so the competitor filings above are used instead — they are stronger evidence in any case.</w:t>
      </w:r>
    </w:p>
    <w:p>
      <w:pPr>
        <w:pStyle w:val="Heading2"/>
        <w:spacing w:after="180" w:before="180"/>
      </w:pPr>
      <w:r>
        <w:rPr>
          <w:rFonts w:ascii="Arial" w:cs="Arial" w:eastAsia="Arial" w:hAnsi="Arial"/>
          <w:b/>
          <w:bCs/>
          <w:color w:val="1F3864"/>
          <w:sz w:val="28"/>
          <w:szCs w:val="28"/>
        </w:rPr>
        <w:t xml:space="preserve">What actually binds as a barrier</w:t>
      </w:r>
    </w:p>
    <w:p>
      <w:pPr>
        <w:spacing w:after="160" w:line="276"/>
      </w:pPr>
      <w:r>
        <w:rPr>
          <w:rFonts w:ascii="Arial" w:cs="Arial" w:eastAsia="Arial" w:hAnsi="Arial"/>
          <w:sz w:val="22"/>
          <w:szCs w:val="22"/>
        </w:rPr>
        <w:t xml:space="preserve">Several of the barriers commonly cited in this industry do not bind. Manufacturing scale does not: Apple owns no fabrication and no assembly, and its long-lived assets outside the United States totalled just $9.6bn at FY2025 year-end. Brand alone does not: Samsung has one and lost money on handsets last quarter. Operating-system share does not: Android runs on roughly three-quarters of the world’s phones.</w:t>
      </w:r>
    </w:p>
    <w:p>
      <w:pPr>
        <w:spacing w:after="160" w:line="276"/>
      </w:pPr>
      <w:r>
        <w:rPr>
          <w:rFonts w:ascii="Arial" w:cs="Arial" w:eastAsia="Arial" w:hAnsi="Arial"/>
          <w:sz w:val="22"/>
          <w:szCs w:val="22"/>
        </w:rPr>
        <w:t xml:space="preserve">What binds is holding the silicon, the operating system and the distribution layer simultaneously. The mechanism showed itself plainly in 2026. When memory prices rose — DRAM contract prices up 90-95% quarter-on-quarter in Q1 2026 and 58-63% in Q2, NAND up 55-60% then 70-75% (TrendForce) — every Android vendor faced a choice between margin and price. Most raised prices; Xiaomi’s average selling price rose 25.9% year on year while its gross margin still fell to 8.5%. Apple and Huawei held price. IDC’s account of the Chinese market in Q2 2026 is explicit: the two "both held prices steady while the rest of the Android field raised them, and both layered on targeted promotions." Apple grew 24.4% in a market that shrank 4.3%.</w:t>
      </w:r>
    </w:p>
    <w:p>
      <w:pPr>
        <w:spacing w:after="160" w:line="276"/>
      </w:pPr>
      <w:r>
        <w:rPr>
          <w:rFonts w:ascii="Arial" w:cs="Arial" w:eastAsia="Arial" w:hAnsi="Arial"/>
          <w:sz w:val="22"/>
          <w:szCs w:val="22"/>
        </w:rPr>
        <w:t xml:space="preserve">Apple could hold price because it had 40 points of product gross margin to spend and a Services annuity underneath it; Xiaomi, at 8.5%, had nothing to spend. A well-funded entrant could reproduce Apple’s hardware. It could not reproduce the 40-point buffer, because the buffer comes from the installed base the hardware has already built, and that takes twenty years to accumulate rather than capital to buy.</w:t>
      </w:r>
    </w:p>
    <w:p>
      <w:pPr>
        <w:pStyle w:val="Heading2"/>
        <w:spacing w:after="180" w:before="180"/>
      </w:pPr>
      <w:r>
        <w:rPr>
          <w:rFonts w:ascii="Arial" w:cs="Arial" w:eastAsia="Arial" w:hAnsi="Arial"/>
          <w:b/>
          <w:bCs/>
          <w:color w:val="1F3864"/>
          <w:sz w:val="28"/>
          <w:szCs w:val="28"/>
        </w:rPr>
        <w:t xml:space="preserve">Competitors, substitutes and what could weaken the position</w:t>
      </w:r>
    </w:p>
    <w:p>
      <w:pPr>
        <w:spacing w:after="160" w:line="276"/>
      </w:pPr>
      <w:r>
        <w:rPr>
          <w:rFonts w:ascii="Arial" w:cs="Arial" w:eastAsia="Arial" w:hAnsi="Arial"/>
          <w:sz w:val="22"/>
          <w:szCs w:val="22"/>
        </w:rPr>
        <w:t xml:space="preserve">Apple names no competitors specifically in its filings, describing markets that are "highly competitive" and noting that some competitors have "large installed bases of active devices." In practice the named set is Samsung (the only other premium-tier vendor of scale, at 19% of the segment), Huawei (which reclaimed the number-one position in mainland China at 22.6% share in Q2 2026), and the Chinese volume vendors — Xiaomi, vivo, OPPO, Honor, Transsion — who compete below the premium tier and are currently being squeezed out of it by component costs.</w:t>
      </w:r>
    </w:p>
    <w:p>
      <w:pPr>
        <w:spacing w:after="160" w:line="276"/>
      </w:pPr>
      <w:r>
        <w:rPr>
          <w:rFonts w:ascii="Arial" w:cs="Arial" w:eastAsia="Arial" w:hAnsi="Arial"/>
          <w:sz w:val="22"/>
          <w:szCs w:val="22"/>
        </w:rPr>
        <w:t xml:space="preserve">Two things could weaken the position, and neither is a rival phone. The first is that Apple does not control its own memory supply while Samsung does, which converts a cost shock into a relative disadvantage against exactly one competitor. The second is that the distribution layer — the App Store and the search-default arrangement — is being reset by courts and regulators rather than by competition, and Apple has no commercial answer to a court order. Both are developed in Sections 6 and 7.</w:t>
      </w:r>
    </w:p>
    <w:p>
      <w:pPr>
        <w:spacing w:after="160" w:line="276"/>
      </w:pPr>
      <w:r>
        <w:rPr>
          <w:rFonts w:ascii="Arial" w:cs="Arial" w:eastAsia="Arial" w:hAnsi="Arial"/>
          <w:sz w:val="22"/>
          <w:szCs w:val="22"/>
        </w:rPr>
        <w:t xml:space="preserve">The kind of company that wins in this industry is the one that captures the value it creates rather than the volume it ships, because volume in consumer hardware is a commodity and the profit pool sits with whoever controls the customer relationship after the sale. Apple is that kind of company to an unusual degree: 21% of units, 49% of revenue, and — on the evidence of Samsung’s and Xiaomi’s own filings — very close to all of the industry’s positive handset profit.</w:t>
      </w:r>
    </w:p>
    <w:p>
      <w:r>
        <w:br w:type="page"/>
      </w:r>
    </w:p>
    <w:p>
      <w:pPr>
        <w:pStyle w:val="Heading1"/>
        <w:spacing w:after="200" w:before="360"/>
      </w:pPr>
      <w:r>
        <w:rPr>
          <w:rFonts w:ascii="Arial" w:cs="Arial" w:eastAsia="Arial" w:hAnsi="Arial"/>
          <w:b/>
          <w:bCs/>
          <w:color w:val="1F3864"/>
          <w:sz w:val="32"/>
          <w:szCs w:val="32"/>
        </w:rPr>
        <w:t xml:space="preserve">4. Growth Engine</w:t>
      </w:r>
    </w:p>
    <w:p>
      <w:pPr>
        <w:spacing w:after="160" w:line="276"/>
      </w:pPr>
      <w:r>
        <w:rPr>
          <w:rFonts w:ascii="Arial" w:cs="Arial" w:eastAsia="Arial" w:hAnsi="Arial"/>
          <w:sz w:val="22"/>
          <w:szCs w:val="22"/>
        </w:rPr>
        <w:t xml:space="preserve">Apple grew revenue 16.1% in the nine months to June 2026, to $364.4bn from $313.7bn. That rate is roughly three times the FY2021-FY2025 average and requires explanation rather than acceptance.</w:t>
      </w:r>
    </w:p>
    <w:p>
      <w:pPr>
        <w:pStyle w:val="Heading2"/>
        <w:spacing w:after="180" w:before="180"/>
      </w:pPr>
      <w:r>
        <w:rPr>
          <w:rFonts w:ascii="Arial" w:cs="Arial" w:eastAsia="Arial" w:hAnsi="Arial"/>
          <w:b/>
          <w:bCs/>
          <w:color w:val="1F3864"/>
          <w:sz w:val="28"/>
          <w:szCs w:val="28"/>
        </w:rPr>
        <w:t xml:space="preserve">Reported growth is organic growth</w:t>
      </w:r>
    </w:p>
    <w:p>
      <w:pPr>
        <w:spacing w:after="160" w:line="276"/>
      </w:pPr>
      <w:r>
        <w:rPr>
          <w:rFonts w:ascii="Arial" w:cs="Arial" w:eastAsia="Arial" w:hAnsi="Arial"/>
          <w:sz w:val="22"/>
          <w:szCs w:val="22"/>
        </w:rPr>
        <w:t xml:space="preserve">Apple is the rare large company for which no decomposition of reported versus organic growth is necessary, because there is nothing to decompose. Across FY2021 to FY2024 the 10-Ks disclose no business combination, no goodwill line, and no named acquisition; the maximum disclosed acquisition spend in any year was $306m in FY2022, under 0.08% of that year’s revenue, and the acquisitions line was removed from the cash flow statement entirely from FY2023. Every point of the 16.1% was generated by the existing asset base.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400"/>
        <w:gridCol w:w="1900"/>
        <w:gridCol w:w="1900"/>
        <w:gridCol w:w="2160"/>
      </w:tblGrid>
      <w:tr>
        <w:tc>
          <w:tcPr>
            <w:tcW w:type="dxa" w:w="3400"/>
            <w:shd w:fill="F2F2F2"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Contribution to 9M FY2026 revenue growth</w:t>
            </w:r>
          </w:p>
        </w:tc>
        <w:tc>
          <w:tcPr>
            <w:tcW w:type="dxa" w:w="1900"/>
            <w:shd w:fill="F2F2F2" w:color="auto" w:val="clear"/>
            <w:tcMar>
              <w:top w:type="dxa" w:w="80"/>
              <w:left w:type="dxa" w:w="120"/>
              <w:bottom w:type="dxa" w:w="80"/>
              <w:right w:type="dxa" w:w="120"/>
            </w:tcMar>
          </w:tcPr>
          <w:p>
            <w:pPr>
              <w:spacing w:after="0" w:line="264"/>
              <w:jc w:val="right"/>
            </w:pPr>
            <w:r>
              <w:rPr>
                <w:rFonts w:ascii="Arial" w:cs="Arial" w:eastAsia="Arial" w:hAnsi="Arial"/>
                <w:b/>
                <w:bCs/>
                <w:sz w:val="20"/>
                <w:szCs w:val="20"/>
              </w:rPr>
              <w:t xml:space="preserve">9M FY2026</w:t>
            </w:r>
          </w:p>
        </w:tc>
        <w:tc>
          <w:tcPr>
            <w:tcW w:type="dxa" w:w="1900"/>
            <w:shd w:fill="F2F2F2" w:color="auto" w:val="clear"/>
            <w:tcMar>
              <w:top w:type="dxa" w:w="80"/>
              <w:left w:type="dxa" w:w="120"/>
              <w:bottom w:type="dxa" w:w="80"/>
              <w:right w:type="dxa" w:w="120"/>
            </w:tcMar>
          </w:tcPr>
          <w:p>
            <w:pPr>
              <w:spacing w:after="0" w:line="264"/>
              <w:jc w:val="right"/>
            </w:pPr>
            <w:r>
              <w:rPr>
                <w:rFonts w:ascii="Arial" w:cs="Arial" w:eastAsia="Arial" w:hAnsi="Arial"/>
                <w:b/>
                <w:bCs/>
                <w:sz w:val="20"/>
                <w:szCs w:val="20"/>
              </w:rPr>
              <w:t xml:space="preserve">9M FY2025</w:t>
            </w:r>
          </w:p>
        </w:tc>
        <w:tc>
          <w:tcPr>
            <w:tcW w:type="dxa" w:w="2160"/>
            <w:shd w:fill="F2F2F2" w:color="auto" w:val="clear"/>
            <w:tcMar>
              <w:top w:type="dxa" w:w="80"/>
              <w:left w:type="dxa" w:w="120"/>
              <w:bottom w:type="dxa" w:w="80"/>
              <w:right w:type="dxa" w:w="120"/>
            </w:tcMar>
          </w:tcPr>
          <w:p>
            <w:pPr>
              <w:spacing w:after="0" w:line="264"/>
              <w:jc w:val="right"/>
            </w:pPr>
            <w:r>
              <w:rPr>
                <w:rFonts w:ascii="Arial" w:cs="Arial" w:eastAsia="Arial" w:hAnsi="Arial"/>
                <w:b/>
                <w:bCs/>
                <w:sz w:val="20"/>
                <w:szCs w:val="20"/>
              </w:rPr>
              <w:t xml:space="preserve">Share of growth</w:t>
            </w:r>
          </w:p>
        </w:tc>
      </w:tr>
      <w:tr>
        <w:tc>
          <w:tcPr>
            <w:tcW w:type="dxa" w:w="3400"/>
            <w:tcMar>
              <w:top w:type="dxa" w:w="80"/>
              <w:left w:type="dxa" w:w="120"/>
              <w:bottom w:type="dxa" w:w="80"/>
              <w:right w:type="dxa" w:w="120"/>
            </w:tcMar>
          </w:tcPr>
          <w:p>
            <w:pPr>
              <w:spacing w:after="0" w:line="264"/>
              <w:jc w:val="left"/>
            </w:pPr>
            <w:r>
              <w:rPr>
                <w:rFonts w:ascii="Arial" w:cs="Arial" w:eastAsia="Arial" w:hAnsi="Arial"/>
                <w:sz w:val="20"/>
                <w:szCs w:val="20"/>
              </w:rPr>
              <w:t xml:space="preserve">iPhone</w:t>
            </w:r>
          </w:p>
        </w:tc>
        <w:tc>
          <w:tcPr>
            <w:tcW w:type="dxa" w:w="1900"/>
            <w:tcMar>
              <w:top w:type="dxa" w:w="80"/>
              <w:left w:type="dxa" w:w="120"/>
              <w:bottom w:type="dxa" w:w="80"/>
              <w:right w:type="dxa" w:w="120"/>
            </w:tcMar>
          </w:tcPr>
          <w:p>
            <w:pPr>
              <w:spacing w:after="0" w:line="264"/>
              <w:jc w:val="right"/>
            </w:pPr>
            <w:r>
              <w:rPr>
                <w:rFonts w:ascii="Arial" w:cs="Arial" w:eastAsia="Arial" w:hAnsi="Arial"/>
                <w:sz w:val="20"/>
                <w:szCs w:val="20"/>
              </w:rPr>
              <w:t xml:space="preserve">196,515</w:t>
            </w:r>
          </w:p>
        </w:tc>
        <w:tc>
          <w:tcPr>
            <w:tcW w:type="dxa" w:w="1900"/>
            <w:tcMar>
              <w:top w:type="dxa" w:w="80"/>
              <w:left w:type="dxa" w:w="120"/>
              <w:bottom w:type="dxa" w:w="80"/>
              <w:right w:type="dxa" w:w="120"/>
            </w:tcMar>
          </w:tcPr>
          <w:p>
            <w:pPr>
              <w:spacing w:after="0" w:line="264"/>
              <w:jc w:val="right"/>
            </w:pPr>
            <w:r>
              <w:rPr>
                <w:rFonts w:ascii="Arial" w:cs="Arial" w:eastAsia="Arial" w:hAnsi="Arial"/>
                <w:sz w:val="20"/>
                <w:szCs w:val="20"/>
              </w:rPr>
              <w:t xml:space="preserve">160,561</w:t>
            </w:r>
          </w:p>
        </w:tc>
        <w:tc>
          <w:tcPr>
            <w:tcW w:type="dxa" w:w="2160"/>
            <w:tcMar>
              <w:top w:type="dxa" w:w="80"/>
              <w:left w:type="dxa" w:w="120"/>
              <w:bottom w:type="dxa" w:w="80"/>
              <w:right w:type="dxa" w:w="120"/>
            </w:tcMar>
          </w:tcPr>
          <w:p>
            <w:pPr>
              <w:spacing w:after="0" w:line="264"/>
              <w:jc w:val="right"/>
            </w:pPr>
            <w:r>
              <w:rPr>
                <w:rFonts w:ascii="Arial" w:cs="Arial" w:eastAsia="Arial" w:hAnsi="Arial"/>
                <w:b/>
                <w:bCs/>
                <w:sz w:val="20"/>
                <w:szCs w:val="20"/>
              </w:rPr>
              <w:t xml:space="preserve">71%</w:t>
            </w:r>
          </w:p>
        </w:tc>
      </w:tr>
      <w:tr>
        <w:tc>
          <w:tcPr>
            <w:tcW w:type="dxa" w:w="3400"/>
            <w:tcMar>
              <w:top w:type="dxa" w:w="80"/>
              <w:left w:type="dxa" w:w="120"/>
              <w:bottom w:type="dxa" w:w="80"/>
              <w:right w:type="dxa" w:w="120"/>
            </w:tcMar>
          </w:tcPr>
          <w:p>
            <w:pPr>
              <w:spacing w:after="0" w:line="264"/>
              <w:jc w:val="left"/>
            </w:pPr>
            <w:r>
              <w:rPr>
                <w:rFonts w:ascii="Arial" w:cs="Arial" w:eastAsia="Arial" w:hAnsi="Arial"/>
                <w:sz w:val="20"/>
                <w:szCs w:val="20"/>
              </w:rPr>
              <w:t xml:space="preserve">Services</w:t>
            </w:r>
          </w:p>
        </w:tc>
        <w:tc>
          <w:tcPr>
            <w:tcW w:type="dxa" w:w="1900"/>
            <w:tcMar>
              <w:top w:type="dxa" w:w="80"/>
              <w:left w:type="dxa" w:w="120"/>
              <w:bottom w:type="dxa" w:w="80"/>
              <w:right w:type="dxa" w:w="120"/>
            </w:tcMar>
          </w:tcPr>
          <w:p>
            <w:pPr>
              <w:spacing w:after="0" w:line="264"/>
              <w:jc w:val="right"/>
            </w:pPr>
            <w:r>
              <w:rPr>
                <w:rFonts w:ascii="Arial" w:cs="Arial" w:eastAsia="Arial" w:hAnsi="Arial"/>
                <w:sz w:val="20"/>
                <w:szCs w:val="20"/>
              </w:rPr>
              <w:t xml:space="preserve">91,728</w:t>
            </w:r>
          </w:p>
        </w:tc>
        <w:tc>
          <w:tcPr>
            <w:tcW w:type="dxa" w:w="1900"/>
            <w:tcMar>
              <w:top w:type="dxa" w:w="80"/>
              <w:left w:type="dxa" w:w="120"/>
              <w:bottom w:type="dxa" w:w="80"/>
              <w:right w:type="dxa" w:w="120"/>
            </w:tcMar>
          </w:tcPr>
          <w:p>
            <w:pPr>
              <w:spacing w:after="0" w:line="264"/>
              <w:jc w:val="right"/>
            </w:pPr>
            <w:r>
              <w:rPr>
                <w:rFonts w:ascii="Arial" w:cs="Arial" w:eastAsia="Arial" w:hAnsi="Arial"/>
                <w:sz w:val="20"/>
                <w:szCs w:val="20"/>
              </w:rPr>
              <w:t xml:space="preserve">80,408</w:t>
            </w:r>
          </w:p>
        </w:tc>
        <w:tc>
          <w:tcPr>
            <w:tcW w:type="dxa" w:w="2160"/>
            <w:tcMar>
              <w:top w:type="dxa" w:w="80"/>
              <w:left w:type="dxa" w:w="120"/>
              <w:bottom w:type="dxa" w:w="80"/>
              <w:right w:type="dxa" w:w="120"/>
            </w:tcMar>
          </w:tcPr>
          <w:p>
            <w:pPr>
              <w:spacing w:after="0" w:line="264"/>
              <w:jc w:val="right"/>
            </w:pPr>
            <w:r>
              <w:rPr>
                <w:rFonts w:ascii="Arial" w:cs="Arial" w:eastAsia="Arial" w:hAnsi="Arial"/>
                <w:b/>
                <w:bCs/>
                <w:sz w:val="20"/>
                <w:szCs w:val="20"/>
              </w:rPr>
              <w:t xml:space="preserve">22%</w:t>
            </w:r>
          </w:p>
        </w:tc>
      </w:tr>
      <w:tr>
        <w:tc>
          <w:tcPr>
            <w:tcW w:type="dxa" w:w="3400"/>
            <w:tcMar>
              <w:top w:type="dxa" w:w="80"/>
              <w:left w:type="dxa" w:w="120"/>
              <w:bottom w:type="dxa" w:w="80"/>
              <w:right w:type="dxa" w:w="120"/>
            </w:tcMar>
          </w:tcPr>
          <w:p>
            <w:pPr>
              <w:spacing w:after="0" w:line="264"/>
              <w:jc w:val="left"/>
            </w:pPr>
            <w:r>
              <w:rPr>
                <w:rFonts w:ascii="Arial" w:cs="Arial" w:eastAsia="Arial" w:hAnsi="Arial"/>
                <w:sz w:val="20"/>
                <w:szCs w:val="20"/>
              </w:rPr>
              <w:t xml:space="preserve">Mac</w:t>
            </w:r>
          </w:p>
        </w:tc>
        <w:tc>
          <w:tcPr>
            <w:tcW w:type="dxa" w:w="1900"/>
            <w:tcMar>
              <w:top w:type="dxa" w:w="80"/>
              <w:left w:type="dxa" w:w="120"/>
              <w:bottom w:type="dxa" w:w="80"/>
              <w:right w:type="dxa" w:w="120"/>
            </w:tcMar>
          </w:tcPr>
          <w:p>
            <w:pPr>
              <w:spacing w:after="0" w:line="264"/>
              <w:jc w:val="right"/>
            </w:pPr>
            <w:r>
              <w:rPr>
                <w:rFonts w:ascii="Arial" w:cs="Arial" w:eastAsia="Arial" w:hAnsi="Arial"/>
                <w:sz w:val="20"/>
                <w:szCs w:val="20"/>
              </w:rPr>
              <w:t xml:space="preserve">27,137</w:t>
            </w:r>
          </w:p>
        </w:tc>
        <w:tc>
          <w:tcPr>
            <w:tcW w:type="dxa" w:w="1900"/>
            <w:tcMar>
              <w:top w:type="dxa" w:w="80"/>
              <w:left w:type="dxa" w:w="120"/>
              <w:bottom w:type="dxa" w:w="80"/>
              <w:right w:type="dxa" w:w="120"/>
            </w:tcMar>
          </w:tcPr>
          <w:p>
            <w:pPr>
              <w:spacing w:after="0" w:line="264"/>
              <w:jc w:val="right"/>
            </w:pPr>
            <w:r>
              <w:rPr>
                <w:rFonts w:ascii="Arial" w:cs="Arial" w:eastAsia="Arial" w:hAnsi="Arial"/>
                <w:sz w:val="20"/>
                <w:szCs w:val="20"/>
              </w:rPr>
              <w:t xml:space="preserve">24,982</w:t>
            </w:r>
          </w:p>
        </w:tc>
        <w:tc>
          <w:tcPr>
            <w:tcW w:type="dxa" w:w="2160"/>
            <w:tcMar>
              <w:top w:type="dxa" w:w="80"/>
              <w:left w:type="dxa" w:w="120"/>
              <w:bottom w:type="dxa" w:w="80"/>
              <w:right w:type="dxa" w:w="120"/>
            </w:tcMar>
          </w:tcPr>
          <w:p>
            <w:pPr>
              <w:spacing w:after="0" w:line="264"/>
              <w:jc w:val="right"/>
            </w:pPr>
            <w:r>
              <w:rPr>
                <w:rFonts w:ascii="Arial" w:cs="Arial" w:eastAsia="Arial" w:hAnsi="Arial"/>
                <w:sz w:val="20"/>
                <w:szCs w:val="20"/>
              </w:rPr>
              <w:t xml:space="preserve">4%</w:t>
            </w:r>
          </w:p>
        </w:tc>
      </w:tr>
      <w:tr>
        <w:tc>
          <w:tcPr>
            <w:tcW w:type="dxa" w:w="3400"/>
            <w:tcMar>
              <w:top w:type="dxa" w:w="80"/>
              <w:left w:type="dxa" w:w="120"/>
              <w:bottom w:type="dxa" w:w="80"/>
              <w:right w:type="dxa" w:w="120"/>
            </w:tcMar>
          </w:tcPr>
          <w:p>
            <w:pPr>
              <w:spacing w:after="0" w:line="264"/>
              <w:jc w:val="left"/>
            </w:pPr>
            <w:r>
              <w:rPr>
                <w:rFonts w:ascii="Arial" w:cs="Arial" w:eastAsia="Arial" w:hAnsi="Arial"/>
                <w:sz w:val="20"/>
                <w:szCs w:val="20"/>
              </w:rPr>
              <w:t xml:space="preserve">iPad</w:t>
            </w:r>
          </w:p>
        </w:tc>
        <w:tc>
          <w:tcPr>
            <w:tcW w:type="dxa" w:w="1900"/>
            <w:tcMar>
              <w:top w:type="dxa" w:w="80"/>
              <w:left w:type="dxa" w:w="120"/>
              <w:bottom w:type="dxa" w:w="80"/>
              <w:right w:type="dxa" w:w="120"/>
            </w:tcMar>
          </w:tcPr>
          <w:p>
            <w:pPr>
              <w:spacing w:after="0" w:line="264"/>
              <w:jc w:val="right"/>
            </w:pPr>
            <w:r>
              <w:rPr>
                <w:rFonts w:ascii="Arial" w:cs="Arial" w:eastAsia="Arial" w:hAnsi="Arial"/>
                <w:sz w:val="20"/>
                <w:szCs w:val="20"/>
              </w:rPr>
              <w:t xml:space="preserve">21,700</w:t>
            </w:r>
          </w:p>
        </w:tc>
        <w:tc>
          <w:tcPr>
            <w:tcW w:type="dxa" w:w="1900"/>
            <w:tcMar>
              <w:top w:type="dxa" w:w="80"/>
              <w:left w:type="dxa" w:w="120"/>
              <w:bottom w:type="dxa" w:w="80"/>
              <w:right w:type="dxa" w:w="120"/>
            </w:tcMar>
          </w:tcPr>
          <w:p>
            <w:pPr>
              <w:spacing w:after="0" w:line="264"/>
              <w:jc w:val="right"/>
            </w:pPr>
            <w:r>
              <w:rPr>
                <w:rFonts w:ascii="Arial" w:cs="Arial" w:eastAsia="Arial" w:hAnsi="Arial"/>
                <w:sz w:val="20"/>
                <w:szCs w:val="20"/>
              </w:rPr>
              <w:t xml:space="preserve">21,071</w:t>
            </w:r>
          </w:p>
        </w:tc>
        <w:tc>
          <w:tcPr>
            <w:tcW w:type="dxa" w:w="2160"/>
            <w:tcMar>
              <w:top w:type="dxa" w:w="80"/>
              <w:left w:type="dxa" w:w="120"/>
              <w:bottom w:type="dxa" w:w="80"/>
              <w:right w:type="dxa" w:w="120"/>
            </w:tcMar>
          </w:tcPr>
          <w:p>
            <w:pPr>
              <w:spacing w:after="0" w:line="264"/>
              <w:jc w:val="right"/>
            </w:pPr>
            <w:r>
              <w:rPr>
                <w:rFonts w:ascii="Arial" w:cs="Arial" w:eastAsia="Arial" w:hAnsi="Arial"/>
                <w:sz w:val="20"/>
                <w:szCs w:val="20"/>
              </w:rPr>
              <w:t xml:space="preserve">1%</w:t>
            </w:r>
          </w:p>
        </w:tc>
      </w:tr>
      <w:tr>
        <w:tc>
          <w:tcPr>
            <w:tcW w:type="dxa" w:w="3400"/>
            <w:tcMar>
              <w:top w:type="dxa" w:w="80"/>
              <w:left w:type="dxa" w:w="120"/>
              <w:bottom w:type="dxa" w:w="80"/>
              <w:right w:type="dxa" w:w="120"/>
            </w:tcMar>
          </w:tcPr>
          <w:p>
            <w:pPr>
              <w:spacing w:after="0" w:line="264"/>
              <w:jc w:val="left"/>
            </w:pPr>
            <w:r>
              <w:rPr>
                <w:rFonts w:ascii="Arial" w:cs="Arial" w:eastAsia="Arial" w:hAnsi="Arial"/>
                <w:sz w:val="20"/>
                <w:szCs w:val="20"/>
              </w:rPr>
              <w:t xml:space="preserve">Wearables, Home and Accessories</w:t>
            </w:r>
          </w:p>
        </w:tc>
        <w:tc>
          <w:tcPr>
            <w:tcW w:type="dxa" w:w="1900"/>
            <w:tcMar>
              <w:top w:type="dxa" w:w="80"/>
              <w:left w:type="dxa" w:w="120"/>
              <w:bottom w:type="dxa" w:w="80"/>
              <w:right w:type="dxa" w:w="120"/>
            </w:tcMar>
          </w:tcPr>
          <w:p>
            <w:pPr>
              <w:spacing w:after="0" w:line="264"/>
              <w:jc w:val="right"/>
            </w:pPr>
            <w:r>
              <w:rPr>
                <w:rFonts w:ascii="Arial" w:cs="Arial" w:eastAsia="Arial" w:hAnsi="Arial"/>
                <w:sz w:val="20"/>
                <w:szCs w:val="20"/>
              </w:rPr>
              <w:t xml:space="preserve">27,277</w:t>
            </w:r>
          </w:p>
        </w:tc>
        <w:tc>
          <w:tcPr>
            <w:tcW w:type="dxa" w:w="1900"/>
            <w:tcMar>
              <w:top w:type="dxa" w:w="80"/>
              <w:left w:type="dxa" w:w="120"/>
              <w:bottom w:type="dxa" w:w="80"/>
              <w:right w:type="dxa" w:w="120"/>
            </w:tcMar>
          </w:tcPr>
          <w:p>
            <w:pPr>
              <w:spacing w:after="0" w:line="264"/>
              <w:jc w:val="right"/>
            </w:pPr>
            <w:r>
              <w:rPr>
                <w:rFonts w:ascii="Arial" w:cs="Arial" w:eastAsia="Arial" w:hAnsi="Arial"/>
                <w:sz w:val="20"/>
                <w:szCs w:val="20"/>
              </w:rPr>
              <w:t xml:space="preserve">26,673</w:t>
            </w:r>
          </w:p>
        </w:tc>
        <w:tc>
          <w:tcPr>
            <w:tcW w:type="dxa" w:w="2160"/>
            <w:tcMar>
              <w:top w:type="dxa" w:w="80"/>
              <w:left w:type="dxa" w:w="120"/>
              <w:bottom w:type="dxa" w:w="80"/>
              <w:right w:type="dxa" w:w="120"/>
            </w:tcMar>
          </w:tcPr>
          <w:p>
            <w:pPr>
              <w:spacing w:after="0" w:line="264"/>
              <w:jc w:val="right"/>
            </w:pPr>
            <w:r>
              <w:rPr>
                <w:rFonts w:ascii="Arial" w:cs="Arial" w:eastAsia="Arial" w:hAnsi="Arial"/>
                <w:sz w:val="20"/>
                <w:szCs w:val="20"/>
              </w:rPr>
              <w:t xml:space="preserve">1%</w:t>
            </w:r>
          </w:p>
        </w:tc>
      </w:tr>
      <w:tr>
        <w:tc>
          <w:tcPr>
            <w:tcW w:type="dxa" w:w="3400"/>
            <w:tcMar>
              <w:top w:type="dxa" w:w="80"/>
              <w:left w:type="dxa" w:w="120"/>
              <w:bottom w:type="dxa" w:w="80"/>
              <w:right w:type="dxa" w:w="120"/>
            </w:tcMar>
          </w:tcPr>
          <w:p>
            <w:pPr>
              <w:spacing w:after="0" w:line="264"/>
              <w:jc w:val="left"/>
            </w:pPr>
            <w:r>
              <w:rPr>
                <w:rFonts w:ascii="Arial" w:cs="Arial" w:eastAsia="Arial" w:hAnsi="Arial"/>
                <w:b/>
                <w:bCs/>
                <w:sz w:val="20"/>
                <w:szCs w:val="20"/>
              </w:rPr>
              <w:t xml:space="preserve">Total net sales</w:t>
            </w:r>
          </w:p>
        </w:tc>
        <w:tc>
          <w:tcPr>
            <w:tcW w:type="dxa" w:w="1900"/>
            <w:tcMar>
              <w:top w:type="dxa" w:w="80"/>
              <w:left w:type="dxa" w:w="120"/>
              <w:bottom w:type="dxa" w:w="80"/>
              <w:right w:type="dxa" w:w="120"/>
            </w:tcMar>
          </w:tcPr>
          <w:p>
            <w:pPr>
              <w:spacing w:after="0" w:line="264"/>
              <w:jc w:val="right"/>
            </w:pPr>
            <w:r>
              <w:rPr>
                <w:rFonts w:ascii="Arial" w:cs="Arial" w:eastAsia="Arial" w:hAnsi="Arial"/>
                <w:b/>
                <w:bCs/>
                <w:sz w:val="20"/>
                <w:szCs w:val="20"/>
              </w:rPr>
              <w:t xml:space="preserve">364,357</w:t>
            </w:r>
          </w:p>
        </w:tc>
        <w:tc>
          <w:tcPr>
            <w:tcW w:type="dxa" w:w="1900"/>
            <w:tcMar>
              <w:top w:type="dxa" w:w="80"/>
              <w:left w:type="dxa" w:w="120"/>
              <w:bottom w:type="dxa" w:w="80"/>
              <w:right w:type="dxa" w:w="120"/>
            </w:tcMar>
          </w:tcPr>
          <w:p>
            <w:pPr>
              <w:spacing w:after="0" w:line="264"/>
              <w:jc w:val="right"/>
            </w:pPr>
            <w:r>
              <w:rPr>
                <w:rFonts w:ascii="Arial" w:cs="Arial" w:eastAsia="Arial" w:hAnsi="Arial"/>
                <w:b/>
                <w:bCs/>
                <w:sz w:val="20"/>
                <w:szCs w:val="20"/>
              </w:rPr>
              <w:t xml:space="preserve">313,695</w:t>
            </w:r>
          </w:p>
        </w:tc>
        <w:tc>
          <w:tcPr>
            <w:tcW w:type="dxa" w:w="2160"/>
            <w:tcMar>
              <w:top w:type="dxa" w:w="80"/>
              <w:left w:type="dxa" w:w="120"/>
              <w:bottom w:type="dxa" w:w="80"/>
              <w:right w:type="dxa" w:w="120"/>
            </w:tcMar>
          </w:tcPr>
          <w:p>
            <w:pPr>
              <w:spacing w:after="0" w:line="264"/>
              <w:jc w:val="right"/>
            </w:pPr>
            <w:r>
              <w:rPr>
                <w:rFonts w:ascii="Arial" w:cs="Arial" w:eastAsia="Arial" w:hAnsi="Arial"/>
                <w:b/>
                <w:bCs/>
                <w:sz w:val="20"/>
                <w:szCs w:val="20"/>
              </w:rPr>
              <w:t xml:space="preserve">+16.1%</w:t>
            </w:r>
          </w:p>
        </w:tc>
      </w:tr>
    </w:tbl>
    <w:p>
      <w:pPr>
        <w:spacing w:after="200" w:before="100" w:line="264"/>
      </w:pPr>
      <w:r>
        <w:rPr>
          <w:rFonts w:ascii="Arial" w:cs="Arial" w:eastAsia="Arial" w:hAnsi="Arial"/>
          <w:i/>
          <w:iCs/>
          <w:color w:val="595959"/>
          <w:sz w:val="18"/>
          <w:szCs w:val="18"/>
        </w:rPr>
        <w:t xml:space="preserve">$ millions. Source: FY2026 Q3 10-Q. Growth shares computed from the disclosed figures. Acquisitions contributed nothing — none is disclosed.</w:t>
      </w:r>
    </w:p>
    <w:p>
      <w:pPr>
        <w:pStyle w:val="Heading2"/>
        <w:spacing w:after="180" w:before="180"/>
      </w:pPr>
      <w:r>
        <w:rPr>
          <w:rFonts w:ascii="Arial" w:cs="Arial" w:eastAsia="Arial" w:hAnsi="Arial"/>
          <w:b/>
          <w:bCs/>
          <w:color w:val="1F3864"/>
          <w:sz w:val="28"/>
          <w:szCs w:val="28"/>
        </w:rPr>
        <w:t xml:space="preserve">The drivers, ranked</w:t>
      </w:r>
    </w:p>
    <w:p>
      <w:pPr>
        <w:pStyle w:val="ListParagraph"/>
        <w:numPr>
          <w:ilvl w:val="0"/>
          <w:numId w:val="2"/>
        </w:numPr>
        <w:spacing w:after="110" w:line="276"/>
      </w:pPr>
      <w:r>
        <w:rPr>
          <w:rFonts w:ascii="Arial" w:cs="Arial" w:eastAsia="Arial" w:hAnsi="Arial"/>
          <w:b/>
          <w:bCs/>
          <w:sz w:val="22"/>
          <w:szCs w:val="22"/>
        </w:rPr>
        <w:t xml:space="preserve">iPhone price and mix — structural, currently amplified. </w:t>
      </w:r>
      <w:r>
        <w:rPr>
          <w:rFonts w:ascii="Arial" w:cs="Arial" w:eastAsia="Arial" w:hAnsi="Arial"/>
          <w:sz w:val="22"/>
          <w:szCs w:val="22"/>
        </w:rPr>
        <w:t xml:space="preserve">iPhone grew 22% on "higher net sales of Pro models" (FY2026 Q3 10-Q), while Apple’s average selling price rose to $946 from $879 a year earlier (Counterpoint). Apple stopped disclosing unit volumes in FY2019, so the price and volume components cannot be separated from the filings. Independent data suggests the growth is predominantly price and mix rather than volume: IDC forecasts Apple’s 2026 unit shipments down 1.3%.</w:t>
      </w:r>
    </w:p>
    <w:p>
      <w:pPr>
        <w:pStyle w:val="ListParagraph"/>
        <w:numPr>
          <w:ilvl w:val="0"/>
          <w:numId w:val="2"/>
        </w:numPr>
        <w:spacing w:after="110" w:line="276"/>
      </w:pPr>
      <w:r>
        <w:rPr>
          <w:rFonts w:ascii="Arial" w:cs="Arial" w:eastAsia="Arial" w:hAnsi="Arial"/>
          <w:b/>
          <w:bCs/>
          <w:sz w:val="22"/>
          <w:szCs w:val="22"/>
        </w:rPr>
        <w:t xml:space="preserve">Greater China recovery — partly cyclical, partly borrowed. </w:t>
      </w:r>
      <w:r>
        <w:rPr>
          <w:rFonts w:ascii="Arial" w:cs="Arial" w:eastAsia="Arial" w:hAnsi="Arial"/>
          <w:sz w:val="22"/>
          <w:szCs w:val="22"/>
        </w:rPr>
        <w:t xml:space="preserve">Greater China contributed 30% of total revenue growth from 14% of the revenue base, growing 30% to $64.8bn in nine months — already more than the whole of FY2025. IDC and Counterpoint corroborate the share gain (Apple up 33.3% in Q1 2026 and 24.4% in Q2 in a market that shrank both quarters). But IDC attributes part of it to consumers "pulling purchases forward in anticipation of price increases." Pulled-forward demand is volume borrowed from later quarters.</w:t>
      </w:r>
    </w:p>
    <w:p>
      <w:pPr>
        <w:pStyle w:val="ListParagraph"/>
        <w:numPr>
          <w:ilvl w:val="0"/>
          <w:numId w:val="2"/>
        </w:numPr>
        <w:spacing w:after="110" w:line="276"/>
      </w:pPr>
      <w:r>
        <w:rPr>
          <w:rFonts w:ascii="Arial" w:cs="Arial" w:eastAsia="Arial" w:hAnsi="Arial"/>
          <w:b/>
          <w:bCs/>
          <w:sz w:val="22"/>
          <w:szCs w:val="22"/>
        </w:rPr>
        <w:t xml:space="preserve">Services compounding on the installed base — structural. </w:t>
      </w:r>
      <w:r>
        <w:rPr>
          <w:rFonts w:ascii="Arial" w:cs="Arial" w:eastAsia="Arial" w:hAnsi="Arial"/>
          <w:sz w:val="22"/>
          <w:szCs w:val="22"/>
        </w:rPr>
        <w:t xml:space="preserve">Services grew 14% to $91.7bn in nine months, on advertising and cloud. This is the most durable line in the company because it grows with the number of devices in use rather than the number sold, and the base is still expanding.</w:t>
      </w:r>
    </w:p>
    <w:p>
      <w:pPr>
        <w:pStyle w:val="ListParagraph"/>
        <w:numPr>
          <w:ilvl w:val="0"/>
          <w:numId w:val="2"/>
        </w:numPr>
        <w:spacing w:after="110" w:line="276"/>
      </w:pPr>
      <w:r>
        <w:rPr>
          <w:rFonts w:ascii="Arial" w:cs="Arial" w:eastAsia="Arial" w:hAnsi="Arial"/>
          <w:b/>
          <w:bCs/>
          <w:sz w:val="22"/>
          <w:szCs w:val="22"/>
        </w:rPr>
        <w:t xml:space="preserve">Competitors’ cost distress — cyclical, and not Apple’s doing. </w:t>
      </w:r>
      <w:r>
        <w:rPr>
          <w:rFonts w:ascii="Arial" w:cs="Arial" w:eastAsia="Arial" w:hAnsi="Arial"/>
          <w:sz w:val="22"/>
          <w:szCs w:val="22"/>
        </w:rPr>
        <w:t xml:space="preserve">The pricing asymmetry described in Section 3 is a growth driver in its own right, and it reverses when component prices normalise and rivals can price competitively again.</w:t>
      </w:r>
    </w:p>
    <w:p>
      <w:pPr>
        <w:pStyle w:val="ListParagraph"/>
        <w:numPr>
          <w:ilvl w:val="0"/>
          <w:numId w:val="2"/>
        </w:numPr>
        <w:spacing w:after="110" w:line="276"/>
      </w:pPr>
      <w:r>
        <w:rPr>
          <w:rFonts w:ascii="Arial" w:cs="Arial" w:eastAsia="Arial" w:hAnsi="Arial"/>
          <w:b/>
          <w:bCs/>
          <w:sz w:val="22"/>
          <w:szCs w:val="22"/>
        </w:rPr>
        <w:t xml:space="preserve">Mac on a product cycle — temporary. </w:t>
      </w:r>
      <w:r>
        <w:rPr>
          <w:rFonts w:ascii="Arial" w:cs="Arial" w:eastAsia="Arial" w:hAnsi="Arial"/>
          <w:sz w:val="22"/>
          <w:szCs w:val="22"/>
        </w:rPr>
        <w:t xml:space="preserve">Mac grew 28.7% in the June quarter on "higher net sales of laptops." Omdia recorded Apple as the only major PC vendor with significant growth in Q2 2026, up 16% in a market down 3.6%, on the MacBook Neo. IDC notes Apple did not participate in the Windows 10 end-of-support commercial refresh in 2025 — this is a product cycle, and product cycles lap.</w:t>
      </w:r>
    </w:p>
    <w:p>
      <w:pPr>
        <w:spacing w:after="160" w:line="276"/>
      </w:pPr>
      <w:r>
        <w:rPr>
          <w:rFonts w:ascii="Arial" w:cs="Arial" w:eastAsia="Arial" w:hAnsi="Arial"/>
          <w:sz w:val="22"/>
          <w:szCs w:val="22"/>
        </w:rPr>
        <w:t xml:space="preserve">The ranking matters because the top two drivers are not the same kind of thing. Services growth would continue in a normal component market. The Greater China number and the share gains against distressed Android vendors would not.</w:t>
      </w:r>
    </w:p>
    <w:p>
      <w:r>
        <w:br w:type="page"/>
      </w:r>
    </w:p>
    <w:p>
      <w:pPr>
        <w:pStyle w:val="Heading1"/>
        <w:spacing w:after="200" w:before="360"/>
      </w:pPr>
      <w:r>
        <w:rPr>
          <w:rFonts w:ascii="Arial" w:cs="Arial" w:eastAsia="Arial" w:hAnsi="Arial"/>
          <w:b/>
          <w:bCs/>
          <w:color w:val="1F3864"/>
          <w:sz w:val="32"/>
          <w:szCs w:val="32"/>
        </w:rPr>
        <w:t xml:space="preserve">5. Margin, Cash and Capital Allocation</w:t>
      </w:r>
    </w:p>
    <w:p>
      <w:pPr>
        <w:spacing w:after="160" w:line="276"/>
      </w:pPr>
      <w:r>
        <w:rPr>
          <w:rFonts w:ascii="Arial" w:cs="Arial" w:eastAsia="Arial" w:hAnsi="Arial"/>
          <w:sz w:val="22"/>
          <w:szCs w:val="22"/>
        </w:rPr>
        <w:t xml:space="preserve">Apple’s gross margin has risen for seven consecutive years, from 37.8% in FY2019 to 48.7% on a trailing-twelve-month basis to June 2026. Almost none of that came from making hardware more cheaply.</w:t>
      </w:r>
    </w:p>
    <w:p>
      <w:pPr>
        <w:pStyle w:val="Heading2"/>
        <w:spacing w:after="180" w:before="180"/>
      </w:pPr>
      <w:r>
        <w:rPr>
          <w:rFonts w:ascii="Arial" w:cs="Arial" w:eastAsia="Arial" w:hAnsi="Arial"/>
          <w:b/>
          <w:bCs/>
          <w:color w:val="1F3864"/>
          <w:sz w:val="28"/>
          <w:szCs w:val="28"/>
        </w:rPr>
        <w:t xml:space="preserve">Where the margin comes from</w:t>
      </w:r>
    </w:p>
    <w:p>
      <w:pPr>
        <w:spacing w:after="160" w:line="276"/>
      </w:pPr>
      <w:r>
        <w:rPr>
          <w:rFonts w:ascii="Arial" w:cs="Arial" w:eastAsia="Arial" w:hAnsi="Arial"/>
          <w:sz w:val="22"/>
          <w:szCs w:val="22"/>
        </w:rPr>
        <w:t xml:space="preserve">Two mechanisms account for it. The first is mix: Services rose from 17.8% of revenue in FY2019 to 25.8% today, and Services carries a 75.6% gross margin against 40.1% for Products. Shifting eight points of revenue from a 40-point margin to a 76-point margin lifts the blended rate by roughly three points before anything else happens. The second is that Services margin itself expanded, from 63.7% in FY2019 to 76.3% across the first nine months of FY2026, as the mix within Services moved toward advertising and licensing — revenue lines with almost no incremental cost of delivery.</w:t>
      </w:r>
    </w:p>
    <w:p>
      <w:pPr>
        <w:spacing w:after="160" w:line="276"/>
      </w:pPr>
      <w:r>
        <w:rPr>
          <w:rFonts w:ascii="Arial" w:cs="Arial" w:eastAsia="Arial" w:hAnsi="Arial"/>
          <w:sz w:val="22"/>
          <w:szCs w:val="22"/>
        </w:rPr>
        <w:t xml:space="preserve">Products margin has been the volatile component and is currently distorted. It fell to 36.8% in FY2025 "primarily due to a different mix of products and tariff costs" (FY2025 10-K), then rose to 40.1% in Q3 FY2026 "primarily due to a different mix of products and tariff refunds, partially offset by higher costs, including memory" (FY2026 Q3 10-Q). The refunds follow the US Supreme Court’s 20 February 2026 ruling striking down certain tariffs imposed under the International Emergency Economic Powers Act; Apple applied for a refund and recognised the proceeds as a reduction of products cost of sales. Apple does not disclose the amount. The record 50.1% consolidated gross margin in the June 2026 quarter therefore includes a benefit that is a recovery of prior-period costs, cannot recur, and cannot be sized from outside.</w:t>
      </w:r>
    </w:p>
    <w:p>
      <w:pPr>
        <w:spacing w:after="160" w:line="276"/>
      </w:pPr>
      <w:r>
        <w:rPr>
          <w:rFonts w:ascii="Arial" w:cs="Arial" w:eastAsia="Arial" w:hAnsi="Arial"/>
          <w:sz w:val="22"/>
          <w:szCs w:val="22"/>
        </w:rPr>
        <w:t xml:space="preserve">The cost structure is largely variable — components and assembly are bought per unit, and Apple owns no fabrication — which is why gross margin holds up when volumes fall but transmits input-price shocks almost immediately. Operating leverage sits in the fixed layer above: research and development of $42.9bn on a trailing basis, now 9.2% of revenue against 6% in FY2019, and selling, general and administrative of $29.4bn, 6.3% of revenue and falling as a share.</w:t>
      </w:r>
    </w:p>
    <w:p>
      <w:pPr>
        <w:pStyle w:val="Heading2"/>
        <w:spacing w:after="180" w:before="180"/>
      </w:pPr>
      <w:r>
        <w:rPr>
          <w:rFonts w:ascii="Arial" w:cs="Arial" w:eastAsia="Arial" w:hAnsi="Arial"/>
          <w:b/>
          <w:bCs/>
          <w:color w:val="1F3864"/>
          <w:sz w:val="28"/>
          <w:szCs w:val="28"/>
        </w:rPr>
        <w:t xml:space="preserve">The financial spine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000"/>
        <w:gridCol w:w="1590"/>
        <w:gridCol w:w="1590"/>
        <w:gridCol w:w="1590"/>
        <w:gridCol w:w="1590"/>
      </w:tblGrid>
      <w:tr>
        <w:tc>
          <w:tcPr>
            <w:tcW w:type="dxa" w:w="3000"/>
            <w:shd w:fill="F2F2F2" w:color="auto" w:val="clear"/>
            <w:tcMar>
              <w:top w:type="dxa" w:w="80"/>
              <w:left w:type="dxa" w:w="120"/>
              <w:bottom w:type="dxa" w:w="80"/>
              <w:right w:type="dxa" w:w="120"/>
            </w:tcMar>
          </w:tcPr>
          <w:p>
            <w:pPr>
              <w:spacing w:after="0" w:line="264"/>
              <w:jc w:val="left"/>
            </w:pPr>
            <w:r>
              <w:rPr>
                <w:rFonts w:ascii="Arial" w:cs="Arial" w:eastAsia="Arial" w:hAnsi="Arial"/>
                <w:sz w:val="20"/>
                <w:szCs w:val="20"/>
              </w:rPr>
              <w:t xml:space="preserve"/>
            </w:r>
          </w:p>
        </w:tc>
        <w:tc>
          <w:tcPr>
            <w:tcW w:type="dxa" w:w="1590"/>
            <w:shd w:fill="F2F2F2" w:color="auto" w:val="clear"/>
            <w:tcMar>
              <w:top w:type="dxa" w:w="80"/>
              <w:left w:type="dxa" w:w="120"/>
              <w:bottom w:type="dxa" w:w="80"/>
              <w:right w:type="dxa" w:w="120"/>
            </w:tcMar>
          </w:tcPr>
          <w:p>
            <w:pPr>
              <w:spacing w:after="0" w:line="264"/>
              <w:jc w:val="right"/>
            </w:pPr>
            <w:r>
              <w:rPr>
                <w:rFonts w:ascii="Arial" w:cs="Arial" w:eastAsia="Arial" w:hAnsi="Arial"/>
                <w:b/>
                <w:bCs/>
                <w:sz w:val="20"/>
                <w:szCs w:val="20"/>
              </w:rPr>
              <w:t xml:space="preserve">FY2019</w:t>
            </w:r>
          </w:p>
        </w:tc>
        <w:tc>
          <w:tcPr>
            <w:tcW w:type="dxa" w:w="1590"/>
            <w:shd w:fill="F2F2F2" w:color="auto" w:val="clear"/>
            <w:tcMar>
              <w:top w:type="dxa" w:w="80"/>
              <w:left w:type="dxa" w:w="120"/>
              <w:bottom w:type="dxa" w:w="80"/>
              <w:right w:type="dxa" w:w="120"/>
            </w:tcMar>
          </w:tcPr>
          <w:p>
            <w:pPr>
              <w:spacing w:after="0" w:line="264"/>
              <w:jc w:val="right"/>
            </w:pPr>
            <w:r>
              <w:rPr>
                <w:rFonts w:ascii="Arial" w:cs="Arial" w:eastAsia="Arial" w:hAnsi="Arial"/>
                <w:b/>
                <w:bCs/>
                <w:sz w:val="20"/>
                <w:szCs w:val="20"/>
              </w:rPr>
              <w:t xml:space="preserve">FY2022</w:t>
            </w:r>
          </w:p>
        </w:tc>
        <w:tc>
          <w:tcPr>
            <w:tcW w:type="dxa" w:w="1590"/>
            <w:shd w:fill="F2F2F2" w:color="auto" w:val="clear"/>
            <w:tcMar>
              <w:top w:type="dxa" w:w="80"/>
              <w:left w:type="dxa" w:w="120"/>
              <w:bottom w:type="dxa" w:w="80"/>
              <w:right w:type="dxa" w:w="120"/>
            </w:tcMar>
          </w:tcPr>
          <w:p>
            <w:pPr>
              <w:spacing w:after="0" w:line="264"/>
              <w:jc w:val="right"/>
            </w:pPr>
            <w:r>
              <w:rPr>
                <w:rFonts w:ascii="Arial" w:cs="Arial" w:eastAsia="Arial" w:hAnsi="Arial"/>
                <w:b/>
                <w:bCs/>
                <w:sz w:val="20"/>
                <w:szCs w:val="20"/>
              </w:rPr>
              <w:t xml:space="preserve">FY2025</w:t>
            </w:r>
          </w:p>
        </w:tc>
        <w:tc>
          <w:tcPr>
            <w:tcW w:type="dxa" w:w="1590"/>
            <w:shd w:fill="F2F2F2" w:color="auto" w:val="clear"/>
            <w:tcMar>
              <w:top w:type="dxa" w:w="80"/>
              <w:left w:type="dxa" w:w="120"/>
              <w:bottom w:type="dxa" w:w="80"/>
              <w:right w:type="dxa" w:w="120"/>
            </w:tcMar>
          </w:tcPr>
          <w:p>
            <w:pPr>
              <w:spacing w:after="0" w:line="264"/>
              <w:jc w:val="right"/>
            </w:pPr>
            <w:r>
              <w:rPr>
                <w:rFonts w:ascii="Arial" w:cs="Arial" w:eastAsia="Arial" w:hAnsi="Arial"/>
                <w:b/>
                <w:bCs/>
                <w:sz w:val="20"/>
                <w:szCs w:val="20"/>
              </w:rPr>
              <w:t xml:space="preserve">TTM Jun-26</w:t>
            </w:r>
          </w:p>
        </w:tc>
      </w:tr>
      <w:tr>
        <w:tc>
          <w:tcPr>
            <w:tcW w:type="dxa" w:w="3000"/>
            <w:tcMar>
              <w:top w:type="dxa" w:w="80"/>
              <w:left w:type="dxa" w:w="120"/>
              <w:bottom w:type="dxa" w:w="80"/>
              <w:right w:type="dxa" w:w="120"/>
            </w:tcMar>
          </w:tcPr>
          <w:p>
            <w:pPr>
              <w:spacing w:after="0" w:line="264"/>
              <w:jc w:val="left"/>
            </w:pPr>
            <w:r>
              <w:rPr>
                <w:rFonts w:ascii="Arial" w:cs="Arial" w:eastAsia="Arial" w:hAnsi="Arial"/>
                <w:sz w:val="20"/>
                <w:szCs w:val="20"/>
              </w:rPr>
              <w:t xml:space="preserve">Net sales ($m)</w:t>
            </w:r>
          </w:p>
        </w:tc>
        <w:tc>
          <w:tcPr>
            <w:tcW w:type="dxa" w:w="1590"/>
            <w:tcMar>
              <w:top w:type="dxa" w:w="80"/>
              <w:left w:type="dxa" w:w="120"/>
              <w:bottom w:type="dxa" w:w="80"/>
              <w:right w:type="dxa" w:w="120"/>
            </w:tcMar>
          </w:tcPr>
          <w:p>
            <w:pPr>
              <w:spacing w:after="0" w:line="264"/>
              <w:jc w:val="right"/>
            </w:pPr>
            <w:r>
              <w:rPr>
                <w:rFonts w:ascii="Arial" w:cs="Arial" w:eastAsia="Arial" w:hAnsi="Arial"/>
                <w:sz w:val="20"/>
                <w:szCs w:val="20"/>
              </w:rPr>
              <w:t xml:space="preserve">260,174</w:t>
            </w:r>
          </w:p>
        </w:tc>
        <w:tc>
          <w:tcPr>
            <w:tcW w:type="dxa" w:w="1590"/>
            <w:tcMar>
              <w:top w:type="dxa" w:w="80"/>
              <w:left w:type="dxa" w:w="120"/>
              <w:bottom w:type="dxa" w:w="80"/>
              <w:right w:type="dxa" w:w="120"/>
            </w:tcMar>
          </w:tcPr>
          <w:p>
            <w:pPr>
              <w:spacing w:after="0" w:line="264"/>
              <w:jc w:val="right"/>
            </w:pPr>
            <w:r>
              <w:rPr>
                <w:rFonts w:ascii="Arial" w:cs="Arial" w:eastAsia="Arial" w:hAnsi="Arial"/>
                <w:sz w:val="20"/>
                <w:szCs w:val="20"/>
              </w:rPr>
              <w:t xml:space="preserve">394,328</w:t>
            </w:r>
          </w:p>
        </w:tc>
        <w:tc>
          <w:tcPr>
            <w:tcW w:type="dxa" w:w="1590"/>
            <w:tcMar>
              <w:top w:type="dxa" w:w="80"/>
              <w:left w:type="dxa" w:w="120"/>
              <w:bottom w:type="dxa" w:w="80"/>
              <w:right w:type="dxa" w:w="120"/>
            </w:tcMar>
          </w:tcPr>
          <w:p>
            <w:pPr>
              <w:spacing w:after="0" w:line="264"/>
              <w:jc w:val="right"/>
            </w:pPr>
            <w:r>
              <w:rPr>
                <w:rFonts w:ascii="Arial" w:cs="Arial" w:eastAsia="Arial" w:hAnsi="Arial"/>
                <w:sz w:val="20"/>
                <w:szCs w:val="20"/>
              </w:rPr>
              <w:t xml:space="preserve">416,161</w:t>
            </w:r>
          </w:p>
        </w:tc>
        <w:tc>
          <w:tcPr>
            <w:tcW w:type="dxa" w:w="1590"/>
            <w:tcMar>
              <w:top w:type="dxa" w:w="80"/>
              <w:left w:type="dxa" w:w="120"/>
              <w:bottom w:type="dxa" w:w="80"/>
              <w:right w:type="dxa" w:w="120"/>
            </w:tcMar>
          </w:tcPr>
          <w:p>
            <w:pPr>
              <w:spacing w:after="0" w:line="264"/>
              <w:jc w:val="right"/>
            </w:pPr>
            <w:r>
              <w:rPr>
                <w:rFonts w:ascii="Arial" w:cs="Arial" w:eastAsia="Arial" w:hAnsi="Arial"/>
                <w:sz w:val="20"/>
                <w:szCs w:val="20"/>
              </w:rPr>
              <w:t xml:space="preserve">466,823</w:t>
            </w:r>
          </w:p>
        </w:tc>
      </w:tr>
      <w:tr>
        <w:tc>
          <w:tcPr>
            <w:tcW w:type="dxa" w:w="3000"/>
            <w:tcMar>
              <w:top w:type="dxa" w:w="80"/>
              <w:left w:type="dxa" w:w="120"/>
              <w:bottom w:type="dxa" w:w="80"/>
              <w:right w:type="dxa" w:w="120"/>
            </w:tcMar>
          </w:tcPr>
          <w:p>
            <w:pPr>
              <w:spacing w:after="0" w:line="264"/>
              <w:jc w:val="left"/>
            </w:pPr>
            <w:r>
              <w:rPr>
                <w:rFonts w:ascii="Arial" w:cs="Arial" w:eastAsia="Arial" w:hAnsi="Arial"/>
                <w:sz w:val="20"/>
                <w:szCs w:val="20"/>
              </w:rPr>
              <w:t xml:space="preserve">Gross margin</w:t>
            </w:r>
          </w:p>
        </w:tc>
        <w:tc>
          <w:tcPr>
            <w:tcW w:type="dxa" w:w="1590"/>
            <w:tcMar>
              <w:top w:type="dxa" w:w="80"/>
              <w:left w:type="dxa" w:w="120"/>
              <w:bottom w:type="dxa" w:w="80"/>
              <w:right w:type="dxa" w:w="120"/>
            </w:tcMar>
          </w:tcPr>
          <w:p>
            <w:pPr>
              <w:spacing w:after="0" w:line="264"/>
              <w:jc w:val="right"/>
            </w:pPr>
            <w:r>
              <w:rPr>
                <w:rFonts w:ascii="Arial" w:cs="Arial" w:eastAsia="Arial" w:hAnsi="Arial"/>
                <w:sz w:val="20"/>
                <w:szCs w:val="20"/>
              </w:rPr>
              <w:t xml:space="preserve">37.8%</w:t>
            </w:r>
          </w:p>
        </w:tc>
        <w:tc>
          <w:tcPr>
            <w:tcW w:type="dxa" w:w="1590"/>
            <w:tcMar>
              <w:top w:type="dxa" w:w="80"/>
              <w:left w:type="dxa" w:w="120"/>
              <w:bottom w:type="dxa" w:w="80"/>
              <w:right w:type="dxa" w:w="120"/>
            </w:tcMar>
          </w:tcPr>
          <w:p>
            <w:pPr>
              <w:spacing w:after="0" w:line="264"/>
              <w:jc w:val="right"/>
            </w:pPr>
            <w:r>
              <w:rPr>
                <w:rFonts w:ascii="Arial" w:cs="Arial" w:eastAsia="Arial" w:hAnsi="Arial"/>
                <w:sz w:val="20"/>
                <w:szCs w:val="20"/>
              </w:rPr>
              <w:t xml:space="preserve">43.3%</w:t>
            </w:r>
          </w:p>
        </w:tc>
        <w:tc>
          <w:tcPr>
            <w:tcW w:type="dxa" w:w="1590"/>
            <w:tcMar>
              <w:top w:type="dxa" w:w="80"/>
              <w:left w:type="dxa" w:w="120"/>
              <w:bottom w:type="dxa" w:w="80"/>
              <w:right w:type="dxa" w:w="120"/>
            </w:tcMar>
          </w:tcPr>
          <w:p>
            <w:pPr>
              <w:spacing w:after="0" w:line="264"/>
              <w:jc w:val="right"/>
            </w:pPr>
            <w:r>
              <w:rPr>
                <w:rFonts w:ascii="Arial" w:cs="Arial" w:eastAsia="Arial" w:hAnsi="Arial"/>
                <w:sz w:val="20"/>
                <w:szCs w:val="20"/>
              </w:rPr>
              <w:t xml:space="preserve">46.9%</w:t>
            </w:r>
          </w:p>
        </w:tc>
        <w:tc>
          <w:tcPr>
            <w:tcW w:type="dxa" w:w="1590"/>
            <w:tcMar>
              <w:top w:type="dxa" w:w="80"/>
              <w:left w:type="dxa" w:w="120"/>
              <w:bottom w:type="dxa" w:w="80"/>
              <w:right w:type="dxa" w:w="120"/>
            </w:tcMar>
          </w:tcPr>
          <w:p>
            <w:pPr>
              <w:spacing w:after="0" w:line="264"/>
              <w:jc w:val="right"/>
            </w:pPr>
            <w:r>
              <w:rPr>
                <w:rFonts w:ascii="Arial" w:cs="Arial" w:eastAsia="Arial" w:hAnsi="Arial"/>
                <w:sz w:val="20"/>
                <w:szCs w:val="20"/>
              </w:rPr>
              <w:t xml:space="preserve">48.7%</w:t>
            </w:r>
          </w:p>
        </w:tc>
      </w:tr>
      <w:tr>
        <w:tc>
          <w:tcPr>
            <w:tcW w:type="dxa" w:w="3000"/>
            <w:tcMar>
              <w:top w:type="dxa" w:w="80"/>
              <w:left w:type="dxa" w:w="120"/>
              <w:bottom w:type="dxa" w:w="80"/>
              <w:right w:type="dxa" w:w="120"/>
            </w:tcMar>
          </w:tcPr>
          <w:p>
            <w:pPr>
              <w:spacing w:after="0" w:line="264"/>
              <w:jc w:val="left"/>
            </w:pPr>
            <w:r>
              <w:rPr>
                <w:rFonts w:ascii="Arial" w:cs="Arial" w:eastAsia="Arial" w:hAnsi="Arial"/>
                <w:sz w:val="20"/>
                <w:szCs w:val="20"/>
              </w:rPr>
              <w:t xml:space="preserve">Services % of revenue</w:t>
            </w:r>
          </w:p>
        </w:tc>
        <w:tc>
          <w:tcPr>
            <w:tcW w:type="dxa" w:w="1590"/>
            <w:tcMar>
              <w:top w:type="dxa" w:w="80"/>
              <w:left w:type="dxa" w:w="120"/>
              <w:bottom w:type="dxa" w:w="80"/>
              <w:right w:type="dxa" w:w="120"/>
            </w:tcMar>
          </w:tcPr>
          <w:p>
            <w:pPr>
              <w:spacing w:after="0" w:line="264"/>
              <w:jc w:val="right"/>
            </w:pPr>
            <w:r>
              <w:rPr>
                <w:rFonts w:ascii="Arial" w:cs="Arial" w:eastAsia="Arial" w:hAnsi="Arial"/>
                <w:sz w:val="20"/>
                <w:szCs w:val="20"/>
              </w:rPr>
              <w:t xml:space="preserve">17.8%</w:t>
            </w:r>
          </w:p>
        </w:tc>
        <w:tc>
          <w:tcPr>
            <w:tcW w:type="dxa" w:w="1590"/>
            <w:tcMar>
              <w:top w:type="dxa" w:w="80"/>
              <w:left w:type="dxa" w:w="120"/>
              <w:bottom w:type="dxa" w:w="80"/>
              <w:right w:type="dxa" w:w="120"/>
            </w:tcMar>
          </w:tcPr>
          <w:p>
            <w:pPr>
              <w:spacing w:after="0" w:line="264"/>
              <w:jc w:val="right"/>
            </w:pPr>
            <w:r>
              <w:rPr>
                <w:rFonts w:ascii="Arial" w:cs="Arial" w:eastAsia="Arial" w:hAnsi="Arial"/>
                <w:sz w:val="20"/>
                <w:szCs w:val="20"/>
              </w:rPr>
              <w:t xml:space="preserve">19.8%</w:t>
            </w:r>
          </w:p>
        </w:tc>
        <w:tc>
          <w:tcPr>
            <w:tcW w:type="dxa" w:w="1590"/>
            <w:tcMar>
              <w:top w:type="dxa" w:w="80"/>
              <w:left w:type="dxa" w:w="120"/>
              <w:bottom w:type="dxa" w:w="80"/>
              <w:right w:type="dxa" w:w="120"/>
            </w:tcMar>
          </w:tcPr>
          <w:p>
            <w:pPr>
              <w:spacing w:after="0" w:line="264"/>
              <w:jc w:val="right"/>
            </w:pPr>
            <w:r>
              <w:rPr>
                <w:rFonts w:ascii="Arial" w:cs="Arial" w:eastAsia="Arial" w:hAnsi="Arial"/>
                <w:sz w:val="20"/>
                <w:szCs w:val="20"/>
              </w:rPr>
              <w:t xml:space="preserve">26.2%</w:t>
            </w:r>
          </w:p>
        </w:tc>
        <w:tc>
          <w:tcPr>
            <w:tcW w:type="dxa" w:w="1590"/>
            <w:tcMar>
              <w:top w:type="dxa" w:w="80"/>
              <w:left w:type="dxa" w:w="120"/>
              <w:bottom w:type="dxa" w:w="80"/>
              <w:right w:type="dxa" w:w="120"/>
            </w:tcMar>
          </w:tcPr>
          <w:p>
            <w:pPr>
              <w:spacing w:after="0" w:line="264"/>
              <w:jc w:val="right"/>
            </w:pPr>
            <w:r>
              <w:rPr>
                <w:rFonts w:ascii="Arial" w:cs="Arial" w:eastAsia="Arial" w:hAnsi="Arial"/>
                <w:sz w:val="20"/>
                <w:szCs w:val="20"/>
              </w:rPr>
              <w:t xml:space="preserve">25.8%</w:t>
            </w:r>
          </w:p>
        </w:tc>
      </w:tr>
      <w:tr>
        <w:tc>
          <w:tcPr>
            <w:tcW w:type="dxa" w:w="3000"/>
            <w:tcMar>
              <w:top w:type="dxa" w:w="80"/>
              <w:left w:type="dxa" w:w="120"/>
              <w:bottom w:type="dxa" w:w="80"/>
              <w:right w:type="dxa" w:w="120"/>
            </w:tcMar>
          </w:tcPr>
          <w:p>
            <w:pPr>
              <w:spacing w:after="0" w:line="264"/>
              <w:jc w:val="left"/>
            </w:pPr>
            <w:r>
              <w:rPr>
                <w:rFonts w:ascii="Arial" w:cs="Arial" w:eastAsia="Arial" w:hAnsi="Arial"/>
                <w:sz w:val="20"/>
                <w:szCs w:val="20"/>
              </w:rPr>
              <w:t xml:space="preserve">Operating income ($m)</w:t>
            </w:r>
          </w:p>
        </w:tc>
        <w:tc>
          <w:tcPr>
            <w:tcW w:type="dxa" w:w="1590"/>
            <w:tcMar>
              <w:top w:type="dxa" w:w="80"/>
              <w:left w:type="dxa" w:w="120"/>
              <w:bottom w:type="dxa" w:w="80"/>
              <w:right w:type="dxa" w:w="120"/>
            </w:tcMar>
          </w:tcPr>
          <w:p>
            <w:pPr>
              <w:spacing w:after="0" w:line="264"/>
              <w:jc w:val="right"/>
            </w:pPr>
            <w:r>
              <w:rPr>
                <w:rFonts w:ascii="Arial" w:cs="Arial" w:eastAsia="Arial" w:hAnsi="Arial"/>
                <w:sz w:val="20"/>
                <w:szCs w:val="20"/>
              </w:rPr>
              <w:t xml:space="preserve">63,930</w:t>
            </w:r>
          </w:p>
        </w:tc>
        <w:tc>
          <w:tcPr>
            <w:tcW w:type="dxa" w:w="1590"/>
            <w:tcMar>
              <w:top w:type="dxa" w:w="80"/>
              <w:left w:type="dxa" w:w="120"/>
              <w:bottom w:type="dxa" w:w="80"/>
              <w:right w:type="dxa" w:w="120"/>
            </w:tcMar>
          </w:tcPr>
          <w:p>
            <w:pPr>
              <w:spacing w:after="0" w:line="264"/>
              <w:jc w:val="right"/>
            </w:pPr>
            <w:r>
              <w:rPr>
                <w:rFonts w:ascii="Arial" w:cs="Arial" w:eastAsia="Arial" w:hAnsi="Arial"/>
                <w:sz w:val="20"/>
                <w:szCs w:val="20"/>
              </w:rPr>
              <w:t xml:space="preserve">119,437</w:t>
            </w:r>
          </w:p>
        </w:tc>
        <w:tc>
          <w:tcPr>
            <w:tcW w:type="dxa" w:w="1590"/>
            <w:tcMar>
              <w:top w:type="dxa" w:w="80"/>
              <w:left w:type="dxa" w:w="120"/>
              <w:bottom w:type="dxa" w:w="80"/>
              <w:right w:type="dxa" w:w="120"/>
            </w:tcMar>
          </w:tcPr>
          <w:p>
            <w:pPr>
              <w:spacing w:after="0" w:line="264"/>
              <w:jc w:val="right"/>
            </w:pPr>
            <w:r>
              <w:rPr>
                <w:rFonts w:ascii="Arial" w:cs="Arial" w:eastAsia="Arial" w:hAnsi="Arial"/>
                <w:sz w:val="20"/>
                <w:szCs w:val="20"/>
              </w:rPr>
              <w:t xml:space="preserve">133,050</w:t>
            </w:r>
          </w:p>
        </w:tc>
        <w:tc>
          <w:tcPr>
            <w:tcW w:type="dxa" w:w="1590"/>
            <w:tcMar>
              <w:top w:type="dxa" w:w="80"/>
              <w:left w:type="dxa" w:w="120"/>
              <w:bottom w:type="dxa" w:w="80"/>
              <w:right w:type="dxa" w:w="120"/>
            </w:tcMar>
          </w:tcPr>
          <w:p>
            <w:pPr>
              <w:spacing w:after="0" w:line="264"/>
              <w:jc w:val="right"/>
            </w:pPr>
            <w:r>
              <w:rPr>
                <w:rFonts w:ascii="Arial" w:cs="Arial" w:eastAsia="Arial" w:hAnsi="Arial"/>
                <w:sz w:val="20"/>
                <w:szCs w:val="20"/>
              </w:rPr>
              <w:t xml:space="preserve">154,859</w:t>
            </w:r>
          </w:p>
        </w:tc>
      </w:tr>
      <w:tr>
        <w:tc>
          <w:tcPr>
            <w:tcW w:type="dxa" w:w="3000"/>
            <w:tcMar>
              <w:top w:type="dxa" w:w="80"/>
              <w:left w:type="dxa" w:w="120"/>
              <w:bottom w:type="dxa" w:w="80"/>
              <w:right w:type="dxa" w:w="120"/>
            </w:tcMar>
          </w:tcPr>
          <w:p>
            <w:pPr>
              <w:spacing w:after="0" w:line="264"/>
              <w:jc w:val="left"/>
            </w:pPr>
            <w:r>
              <w:rPr>
                <w:rFonts w:ascii="Arial" w:cs="Arial" w:eastAsia="Arial" w:hAnsi="Arial"/>
                <w:sz w:val="20"/>
                <w:szCs w:val="20"/>
              </w:rPr>
              <w:t xml:space="preserve">Diluted EPS ($)</w:t>
            </w:r>
          </w:p>
        </w:tc>
        <w:tc>
          <w:tcPr>
            <w:tcW w:type="dxa" w:w="1590"/>
            <w:tcMar>
              <w:top w:type="dxa" w:w="80"/>
              <w:left w:type="dxa" w:w="120"/>
              <w:bottom w:type="dxa" w:w="80"/>
              <w:right w:type="dxa" w:w="120"/>
            </w:tcMar>
          </w:tcPr>
          <w:p>
            <w:pPr>
              <w:spacing w:after="0" w:line="264"/>
              <w:jc w:val="right"/>
            </w:pPr>
            <w:r>
              <w:rPr>
                <w:rFonts w:ascii="Arial" w:cs="Arial" w:eastAsia="Arial" w:hAnsi="Arial"/>
                <w:sz w:val="20"/>
                <w:szCs w:val="20"/>
              </w:rPr>
              <w:t xml:space="preserve">2.97</w:t>
            </w:r>
          </w:p>
        </w:tc>
        <w:tc>
          <w:tcPr>
            <w:tcW w:type="dxa" w:w="1590"/>
            <w:tcMar>
              <w:top w:type="dxa" w:w="80"/>
              <w:left w:type="dxa" w:w="120"/>
              <w:bottom w:type="dxa" w:w="80"/>
              <w:right w:type="dxa" w:w="120"/>
            </w:tcMar>
          </w:tcPr>
          <w:p>
            <w:pPr>
              <w:spacing w:after="0" w:line="264"/>
              <w:jc w:val="right"/>
            </w:pPr>
            <w:r>
              <w:rPr>
                <w:rFonts w:ascii="Arial" w:cs="Arial" w:eastAsia="Arial" w:hAnsi="Arial"/>
                <w:sz w:val="20"/>
                <w:szCs w:val="20"/>
              </w:rPr>
              <w:t xml:space="preserve">6.11</w:t>
            </w:r>
          </w:p>
        </w:tc>
        <w:tc>
          <w:tcPr>
            <w:tcW w:type="dxa" w:w="1590"/>
            <w:tcMar>
              <w:top w:type="dxa" w:w="80"/>
              <w:left w:type="dxa" w:w="120"/>
              <w:bottom w:type="dxa" w:w="80"/>
              <w:right w:type="dxa" w:w="120"/>
            </w:tcMar>
          </w:tcPr>
          <w:p>
            <w:pPr>
              <w:spacing w:after="0" w:line="264"/>
              <w:jc w:val="right"/>
            </w:pPr>
            <w:r>
              <w:rPr>
                <w:rFonts w:ascii="Arial" w:cs="Arial" w:eastAsia="Arial" w:hAnsi="Arial"/>
                <w:sz w:val="20"/>
                <w:szCs w:val="20"/>
              </w:rPr>
              <w:t xml:space="preserve">7.46</w:t>
            </w:r>
          </w:p>
        </w:tc>
        <w:tc>
          <w:tcPr>
            <w:tcW w:type="dxa" w:w="1590"/>
            <w:tcMar>
              <w:top w:type="dxa" w:w="80"/>
              <w:left w:type="dxa" w:w="120"/>
              <w:bottom w:type="dxa" w:w="80"/>
              <w:right w:type="dxa" w:w="120"/>
            </w:tcMar>
          </w:tcPr>
          <w:p>
            <w:pPr>
              <w:spacing w:after="0" w:line="264"/>
              <w:jc w:val="right"/>
            </w:pPr>
            <w:r>
              <w:rPr>
                <w:rFonts w:ascii="Arial" w:cs="Arial" w:eastAsia="Arial" w:hAnsi="Arial"/>
                <w:sz w:val="20"/>
                <w:szCs w:val="20"/>
              </w:rPr>
              <w:t xml:space="preserve">~8.72</w:t>
            </w:r>
          </w:p>
        </w:tc>
      </w:tr>
      <w:tr>
        <w:tc>
          <w:tcPr>
            <w:tcW w:type="dxa" w:w="3000"/>
            <w:tcMar>
              <w:top w:type="dxa" w:w="80"/>
              <w:left w:type="dxa" w:w="120"/>
              <w:bottom w:type="dxa" w:w="80"/>
              <w:right w:type="dxa" w:w="120"/>
            </w:tcMar>
          </w:tcPr>
          <w:p>
            <w:pPr>
              <w:spacing w:after="0" w:line="264"/>
              <w:jc w:val="left"/>
            </w:pPr>
            <w:r>
              <w:rPr>
                <w:rFonts w:ascii="Arial" w:cs="Arial" w:eastAsia="Arial" w:hAnsi="Arial"/>
                <w:sz w:val="20"/>
                <w:szCs w:val="20"/>
              </w:rPr>
              <w:t xml:space="preserve">Diluted shares (m)</w:t>
            </w:r>
          </w:p>
        </w:tc>
        <w:tc>
          <w:tcPr>
            <w:tcW w:type="dxa" w:w="1590"/>
            <w:tcMar>
              <w:top w:type="dxa" w:w="80"/>
              <w:left w:type="dxa" w:w="120"/>
              <w:bottom w:type="dxa" w:w="80"/>
              <w:right w:type="dxa" w:w="120"/>
            </w:tcMar>
          </w:tcPr>
          <w:p>
            <w:pPr>
              <w:spacing w:after="0" w:line="264"/>
              <w:jc w:val="right"/>
            </w:pPr>
            <w:r>
              <w:rPr>
                <w:rFonts w:ascii="Arial" w:cs="Arial" w:eastAsia="Arial" w:hAnsi="Arial"/>
                <w:sz w:val="20"/>
                <w:szCs w:val="20"/>
              </w:rPr>
              <w:t xml:space="preserve">18,596</w:t>
            </w:r>
          </w:p>
        </w:tc>
        <w:tc>
          <w:tcPr>
            <w:tcW w:type="dxa" w:w="1590"/>
            <w:tcMar>
              <w:top w:type="dxa" w:w="80"/>
              <w:left w:type="dxa" w:w="120"/>
              <w:bottom w:type="dxa" w:w="80"/>
              <w:right w:type="dxa" w:w="120"/>
            </w:tcMar>
          </w:tcPr>
          <w:p>
            <w:pPr>
              <w:spacing w:after="0" w:line="264"/>
              <w:jc w:val="right"/>
            </w:pPr>
            <w:r>
              <w:rPr>
                <w:rFonts w:ascii="Arial" w:cs="Arial" w:eastAsia="Arial" w:hAnsi="Arial"/>
                <w:sz w:val="20"/>
                <w:szCs w:val="20"/>
              </w:rPr>
              <w:t xml:space="preserve">16,326</w:t>
            </w:r>
          </w:p>
        </w:tc>
        <w:tc>
          <w:tcPr>
            <w:tcW w:type="dxa" w:w="1590"/>
            <w:tcMar>
              <w:top w:type="dxa" w:w="80"/>
              <w:left w:type="dxa" w:w="120"/>
              <w:bottom w:type="dxa" w:w="80"/>
              <w:right w:type="dxa" w:w="120"/>
            </w:tcMar>
          </w:tcPr>
          <w:p>
            <w:pPr>
              <w:spacing w:after="0" w:line="264"/>
              <w:jc w:val="right"/>
            </w:pPr>
            <w:r>
              <w:rPr>
                <w:rFonts w:ascii="Arial" w:cs="Arial" w:eastAsia="Arial" w:hAnsi="Arial"/>
                <w:sz w:val="20"/>
                <w:szCs w:val="20"/>
              </w:rPr>
              <w:t xml:space="preserve">15,005</w:t>
            </w:r>
          </w:p>
        </w:tc>
        <w:tc>
          <w:tcPr>
            <w:tcW w:type="dxa" w:w="1590"/>
            <w:tcMar>
              <w:top w:type="dxa" w:w="80"/>
              <w:left w:type="dxa" w:w="120"/>
              <w:bottom w:type="dxa" w:w="80"/>
              <w:right w:type="dxa" w:w="120"/>
            </w:tcMar>
          </w:tcPr>
          <w:p>
            <w:pPr>
              <w:spacing w:after="0" w:line="264"/>
              <w:jc w:val="right"/>
            </w:pPr>
            <w:r>
              <w:rPr>
                <w:rFonts w:ascii="Arial" w:cs="Arial" w:eastAsia="Arial" w:hAnsi="Arial"/>
                <w:sz w:val="20"/>
                <w:szCs w:val="20"/>
              </w:rPr>
              <w:t xml:space="preserve">14,715</w:t>
            </w:r>
          </w:p>
        </w:tc>
      </w:tr>
    </w:tbl>
    <w:p>
      <w:pPr>
        <w:spacing w:after="200" w:before="100" w:line="264"/>
      </w:pPr>
      <w:r>
        <w:rPr>
          <w:rFonts w:ascii="Arial" w:cs="Arial" w:eastAsia="Arial" w:hAnsi="Arial"/>
          <w:i/>
          <w:iCs/>
          <w:color w:val="595959"/>
          <w:sz w:val="18"/>
          <w:szCs w:val="18"/>
        </w:rPr>
        <w:t xml:space="preserve">Sources: FY2021, FY2022 and FY2025 Forms 10-K; FY2026 Q3 10-Q. Comparability qualifications: FY2023 spanned 53 weeks against 52 for FY2022 and FY2024, so any growth rate crossing it is distorted; FY2019 figures are the comparative columns of the FY2021 10-K, not the original filing; the FY2023 and FY2024 10-Ks each state that "certain prior period amounts have been reclassified" without specifying which; segment expense detail was disclosed for the first time in FY2025 under ASU 2023-07; and the trailing-twelve-month gross margin includes an undisclosed tariff-refund benefit. Trailing EPS is the sum of period EPS figures, not a recomputation on a weighted share count.</w:t>
      </w:r>
    </w:p>
    <w:p>
      <w:pPr>
        <w:pStyle w:val="Heading2"/>
        <w:spacing w:after="180" w:before="180"/>
      </w:pPr>
      <w:r>
        <w:rPr>
          <w:rFonts w:ascii="Arial" w:cs="Arial" w:eastAsia="Arial" w:hAnsi="Arial"/>
          <w:b/>
          <w:bCs/>
          <w:color w:val="1F3864"/>
          <w:sz w:val="28"/>
          <w:szCs w:val="28"/>
        </w:rPr>
        <w:t xml:space="preserve">Cash conversion</w:t>
      </w:r>
    </w:p>
    <w:p>
      <w:pPr>
        <w:spacing w:after="160" w:line="276"/>
      </w:pPr>
      <w:r>
        <w:rPr>
          <w:rFonts w:ascii="Arial" w:cs="Arial" w:eastAsia="Arial" w:hAnsi="Arial"/>
          <w:sz w:val="22"/>
          <w:szCs w:val="22"/>
        </w:rPr>
        <w:t xml:space="preserve">Cash converts better than profit. Trailing operating cash flow was $146.7bn against net income of $128.9bn, and capital expenditure of $10.0bn left $136.7bn of free cash flow — 29% of revenue. The gap comes from depreciation and share-based compensation exceeding a capital base that barely grows, and from negative working capital: suppliers are paid after customers pay Apple.</w:t>
      </w:r>
    </w:p>
    <w:p>
      <w:pPr>
        <w:spacing w:after="160" w:line="276"/>
      </w:pPr>
      <w:r>
        <w:rPr>
          <w:rFonts w:ascii="Arial" w:cs="Arial" w:eastAsia="Arial" w:hAnsi="Arial"/>
          <w:sz w:val="22"/>
          <w:szCs w:val="22"/>
        </w:rPr>
        <w:t xml:space="preserve">One item in the cash flow deserves attention. Capital expenditure in the nine months to June 2026 was $6.8bn, down 28% from $9.5bn a year earlier — falling, while Alphabet guides to $195-205bn of 2026 capital spending, Amazon to approximately $220bn and Meta to $130-145bn. At the same time Apple’s gross intangible assets rose $12.1bn in nine months with no acquisition or business-combination note explaining it, other purchase obligations roughly doubled from $14.8bn to $29.3bn, research and development rose 32% in the June quarter on "infrastructure-related costs, including investments in artificial intelligence," and inventories nearly doubled from $5.7bn to $11.1bn. Apple has stated it uses "some third-party cloud and we do our own data centers" (Q3 FY2026 call) and announced in January 2026 that its next-generation foundation models will be based on Google’s Gemini models and cloud, with no commercial terms disclosed. The conclusion is that Apple’s artificial-intelligence spending is real and rising but is landing in operating expense, cost of sales, intangibles and purchase commitments rather than in capital expenditure (inferred). Its capital expenditure line understates it, and is not comparable to a hyperscaler’s.</w:t>
      </w:r>
    </w:p>
    <w:p>
      <w:pPr>
        <w:pStyle w:val="Heading2"/>
        <w:spacing w:after="180" w:before="180"/>
      </w:pPr>
      <w:r>
        <w:rPr>
          <w:rFonts w:ascii="Arial" w:cs="Arial" w:eastAsia="Arial" w:hAnsi="Arial"/>
          <w:b/>
          <w:bCs/>
          <w:color w:val="1F3864"/>
          <w:sz w:val="28"/>
          <w:szCs w:val="28"/>
        </w:rPr>
        <w:t xml:space="preserve">Where the cash goes</w:t>
      </w:r>
    </w:p>
    <w:p>
      <w:pPr>
        <w:spacing w:after="160" w:line="276"/>
      </w:pPr>
      <w:r>
        <w:rPr>
          <w:rFonts w:ascii="Arial" w:cs="Arial" w:eastAsia="Arial" w:hAnsi="Arial"/>
          <w:sz w:val="22"/>
          <w:szCs w:val="22"/>
        </w:rPr>
        <w:t xml:space="preserve">Ranked over FY2019 to FY2025: buybacks $577.8bn, dividends $103.2bn, capital expenditure $75.7bn, debt reduction, and acquisitions last at effectively nothing (summed from the cash flow statements of the FY2021, FY2022, FY2023, FY2024 and FY2025 10-Ks). Diluted share count fell 20.9% from 18.6bn to 14.7bn. Buybacks have been roughly 5.6 times capital expenditure and around 40 times the entire disclosed acquisition programme.</w:t>
      </w:r>
    </w:p>
    <w:p>
      <w:pPr>
        <w:spacing w:after="160" w:line="276"/>
      </w:pPr>
      <w:r>
        <w:rPr>
          <w:rFonts w:ascii="Arial" w:cs="Arial" w:eastAsia="Arial" w:hAnsi="Arial"/>
          <w:sz w:val="22"/>
          <w:szCs w:val="22"/>
        </w:rPr>
        <w:t xml:space="preserve">That ranking says something specific about how management thinks: this is a company that believes it already owns the assets it needs and treats its own equity as the best available use of surplus cash. It has never made a large acquisition, has no goodwill on the balance sheet, and has told shareholders only that it "intends to increase its dividend on an annual basis." The dividend has risen every year by roughly four cents, or 4%, and a new $100bn repurchase authorisation has been announced each May — most recently on 30 April 2026, on top of the $38.0bn still available under the May 2025 programme. In May 2026 Apple additionally entered accelerated share repurchase agreements for $10.0bn of up-front payments.</w:t>
      </w:r>
    </w:p>
    <w:p>
      <w:pPr>
        <w:spacing w:after="160" w:line="276"/>
      </w:pPr>
      <w:r>
        <w:rPr>
          <w:rFonts w:ascii="Arial" w:cs="Arial" w:eastAsia="Arial" w:hAnsi="Arial"/>
          <w:sz w:val="22"/>
          <w:szCs w:val="22"/>
        </w:rPr>
        <w:t xml:space="preserve">The balance sheet has quietly repaired. Total debt including commercial paper fell from $124.7bn at FY2021 year-end to $84.3bn at June 2026, while cash and marketable securities rose to $146.5bn — a net cash position of $62.2bn against $33.8bn nine months earlier. Retained earnings turned positive at $11.3bn from an accumulated deficit of $14.3bn at FY2025 year-end. Apple has been buying back less than it earns for the first time in years.</w:t>
      </w:r>
    </w:p>
    <w:p>
      <w:pPr>
        <w:spacing w:after="160" w:line="276"/>
      </w:pPr>
      <w:r>
        <w:rPr>
          <w:rFonts w:ascii="Arial" w:cs="Arial" w:eastAsia="Arial" w:hAnsi="Arial"/>
          <w:sz w:val="22"/>
          <w:szCs w:val="22"/>
        </w:rPr>
        <w:t xml:space="preserve">No transaction has been announced that post-dates the reported figures. The one material event that does is the leadership change: John Ternus became Chief Executive Officer on 1 September 2026, with Tim Cook moving to Executive Chair. Ternus’s FY2027 equity award is set at $55m of target value, 75% in performance shares vesting on total shareholder return relative to the S&amp;P 500 — the same relative-TSR structure and the same 55th-percentile target that has governed Cook’s awards.</w:t>
      </w:r>
    </w:p>
    <w:p>
      <w:r>
        <w:br w:type="page"/>
      </w:r>
    </w:p>
    <w:p>
      <w:pPr>
        <w:pStyle w:val="Heading1"/>
        <w:spacing w:after="200" w:before="360"/>
      </w:pPr>
      <w:r>
        <w:rPr>
          <w:rFonts w:ascii="Arial" w:cs="Arial" w:eastAsia="Arial" w:hAnsi="Arial"/>
          <w:b/>
          <w:bCs/>
          <w:color w:val="1F3864"/>
          <w:sz w:val="32"/>
          <w:szCs w:val="32"/>
        </w:rPr>
        <w:t xml:space="preserve">6. Cyclicality, Constraints and What to Monitor</w:t>
      </w:r>
    </w:p>
    <w:p>
      <w:pPr>
        <w:pStyle w:val="Heading2"/>
        <w:spacing w:after="180" w:before="180"/>
      </w:pPr>
      <w:r>
        <w:rPr>
          <w:rFonts w:ascii="Arial" w:cs="Arial" w:eastAsia="Arial" w:hAnsi="Arial"/>
          <w:b/>
          <w:bCs/>
          <w:color w:val="1F3864"/>
          <w:sz w:val="28"/>
          <w:szCs w:val="28"/>
        </w:rPr>
        <w:t xml:space="preserve">End-market exposure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300"/>
        <w:gridCol w:w="1500"/>
        <w:gridCol w:w="1500"/>
        <w:gridCol w:w="1500"/>
        <w:gridCol w:w="2560"/>
      </w:tblGrid>
      <w:tr>
        <w:tc>
          <w:tcPr>
            <w:tcW w:type="dxa" w:w="2300"/>
            <w:shd w:fill="F2F2F2"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Segment</w:t>
            </w:r>
          </w:p>
        </w:tc>
        <w:tc>
          <w:tcPr>
            <w:tcW w:type="dxa" w:w="1500"/>
            <w:shd w:fill="F2F2F2" w:color="auto" w:val="clear"/>
            <w:tcMar>
              <w:top w:type="dxa" w:w="80"/>
              <w:left w:type="dxa" w:w="120"/>
              <w:bottom w:type="dxa" w:w="80"/>
              <w:right w:type="dxa" w:w="120"/>
            </w:tcMar>
          </w:tcPr>
          <w:p>
            <w:pPr>
              <w:spacing w:after="0" w:line="264"/>
              <w:jc w:val="right"/>
            </w:pPr>
            <w:r>
              <w:rPr>
                <w:rFonts w:ascii="Arial" w:cs="Arial" w:eastAsia="Arial" w:hAnsi="Arial"/>
                <w:b/>
                <w:bCs/>
                <w:sz w:val="20"/>
                <w:szCs w:val="20"/>
              </w:rPr>
              <w:t xml:space="preserve">9M FY26 sales</w:t>
            </w:r>
          </w:p>
        </w:tc>
        <w:tc>
          <w:tcPr>
            <w:tcW w:type="dxa" w:w="1500"/>
            <w:shd w:fill="F2F2F2" w:color="auto" w:val="clear"/>
            <w:tcMar>
              <w:top w:type="dxa" w:w="80"/>
              <w:left w:type="dxa" w:w="120"/>
              <w:bottom w:type="dxa" w:w="80"/>
              <w:right w:type="dxa" w:w="120"/>
            </w:tcMar>
          </w:tcPr>
          <w:p>
            <w:pPr>
              <w:spacing w:after="0" w:line="264"/>
              <w:jc w:val="right"/>
            </w:pPr>
            <w:r>
              <w:rPr>
                <w:rFonts w:ascii="Arial" w:cs="Arial" w:eastAsia="Arial" w:hAnsi="Arial"/>
                <w:b/>
                <w:bCs/>
                <w:sz w:val="20"/>
                <w:szCs w:val="20"/>
              </w:rPr>
              <w:t xml:space="preserve">% of total</w:t>
            </w:r>
          </w:p>
        </w:tc>
        <w:tc>
          <w:tcPr>
            <w:tcW w:type="dxa" w:w="1500"/>
            <w:shd w:fill="F2F2F2" w:color="auto" w:val="clear"/>
            <w:tcMar>
              <w:top w:type="dxa" w:w="80"/>
              <w:left w:type="dxa" w:w="120"/>
              <w:bottom w:type="dxa" w:w="80"/>
              <w:right w:type="dxa" w:w="120"/>
            </w:tcMar>
          </w:tcPr>
          <w:p>
            <w:pPr>
              <w:spacing w:after="0" w:line="264"/>
              <w:jc w:val="right"/>
            </w:pPr>
            <w:r>
              <w:rPr>
                <w:rFonts w:ascii="Arial" w:cs="Arial" w:eastAsia="Arial" w:hAnsi="Arial"/>
                <w:b/>
                <w:bCs/>
                <w:sz w:val="20"/>
                <w:szCs w:val="20"/>
              </w:rPr>
              <w:t xml:space="preserve">Growth</w:t>
            </w:r>
          </w:p>
        </w:tc>
        <w:tc>
          <w:tcPr>
            <w:tcW w:type="dxa" w:w="2560"/>
            <w:shd w:fill="F2F2F2" w:color="auto" w:val="clear"/>
            <w:tcMar>
              <w:top w:type="dxa" w:w="80"/>
              <w:left w:type="dxa" w:w="120"/>
              <w:bottom w:type="dxa" w:w="80"/>
              <w:right w:type="dxa" w:w="120"/>
            </w:tcMar>
          </w:tcPr>
          <w:p>
            <w:pPr>
              <w:spacing w:after="0" w:line="264"/>
              <w:jc w:val="right"/>
            </w:pPr>
            <w:r>
              <w:rPr>
                <w:rFonts w:ascii="Arial" w:cs="Arial" w:eastAsia="Arial" w:hAnsi="Arial"/>
                <w:b/>
                <w:bCs/>
                <w:sz w:val="20"/>
                <w:szCs w:val="20"/>
              </w:rPr>
              <w:t xml:space="preserve">Segment operating margin</w:t>
            </w:r>
          </w:p>
        </w:tc>
      </w:tr>
      <w:tr>
        <w:tc>
          <w:tcPr>
            <w:tcW w:type="dxa" w:w="2300"/>
            <w:tcMar>
              <w:top w:type="dxa" w:w="80"/>
              <w:left w:type="dxa" w:w="120"/>
              <w:bottom w:type="dxa" w:w="80"/>
              <w:right w:type="dxa" w:w="120"/>
            </w:tcMar>
          </w:tcPr>
          <w:p>
            <w:pPr>
              <w:spacing w:after="0" w:line="264"/>
              <w:jc w:val="left"/>
            </w:pPr>
            <w:r>
              <w:rPr>
                <w:rFonts w:ascii="Arial" w:cs="Arial" w:eastAsia="Arial" w:hAnsi="Arial"/>
                <w:sz w:val="20"/>
                <w:szCs w:val="20"/>
              </w:rPr>
              <w:t xml:space="preserve">Americas</w:t>
            </w:r>
          </w:p>
        </w:tc>
        <w:tc>
          <w:tcPr>
            <w:tcW w:type="dxa" w:w="1500"/>
            <w:tcMar>
              <w:top w:type="dxa" w:w="80"/>
              <w:left w:type="dxa" w:w="120"/>
              <w:bottom w:type="dxa" w:w="80"/>
              <w:right w:type="dxa" w:w="120"/>
            </w:tcMar>
          </w:tcPr>
          <w:p>
            <w:pPr>
              <w:spacing w:after="0" w:line="264"/>
              <w:jc w:val="right"/>
            </w:pPr>
            <w:r>
              <w:rPr>
                <w:rFonts w:ascii="Arial" w:cs="Arial" w:eastAsia="Arial" w:hAnsi="Arial"/>
                <w:sz w:val="20"/>
                <w:szCs w:val="20"/>
              </w:rPr>
              <w:t xml:space="preserve">149,403</w:t>
            </w:r>
          </w:p>
        </w:tc>
        <w:tc>
          <w:tcPr>
            <w:tcW w:type="dxa" w:w="1500"/>
            <w:tcMar>
              <w:top w:type="dxa" w:w="80"/>
              <w:left w:type="dxa" w:w="120"/>
              <w:bottom w:type="dxa" w:w="80"/>
              <w:right w:type="dxa" w:w="120"/>
            </w:tcMar>
          </w:tcPr>
          <w:p>
            <w:pPr>
              <w:spacing w:after="0" w:line="264"/>
              <w:jc w:val="right"/>
            </w:pPr>
            <w:r>
              <w:rPr>
                <w:rFonts w:ascii="Arial" w:cs="Arial" w:eastAsia="Arial" w:hAnsi="Arial"/>
                <w:sz w:val="20"/>
                <w:szCs w:val="20"/>
              </w:rPr>
              <w:t xml:space="preserve">41%</w:t>
            </w:r>
          </w:p>
        </w:tc>
        <w:tc>
          <w:tcPr>
            <w:tcW w:type="dxa" w:w="1500"/>
            <w:tcMar>
              <w:top w:type="dxa" w:w="80"/>
              <w:left w:type="dxa" w:w="120"/>
              <w:bottom w:type="dxa" w:w="80"/>
              <w:right w:type="dxa" w:w="120"/>
            </w:tcMar>
          </w:tcPr>
          <w:p>
            <w:pPr>
              <w:spacing w:after="0" w:line="264"/>
              <w:jc w:val="right"/>
            </w:pPr>
            <w:r>
              <w:rPr>
                <w:rFonts w:ascii="Arial" w:cs="Arial" w:eastAsia="Arial" w:hAnsi="Arial"/>
                <w:sz w:val="20"/>
                <w:szCs w:val="20"/>
              </w:rPr>
              <w:t xml:space="preserve">+11%</w:t>
            </w:r>
          </w:p>
        </w:tc>
        <w:tc>
          <w:tcPr>
            <w:tcW w:type="dxa" w:w="2560"/>
            <w:tcMar>
              <w:top w:type="dxa" w:w="80"/>
              <w:left w:type="dxa" w:w="120"/>
              <w:bottom w:type="dxa" w:w="80"/>
              <w:right w:type="dxa" w:w="120"/>
            </w:tcMar>
          </w:tcPr>
          <w:p>
            <w:pPr>
              <w:spacing w:after="0" w:line="264"/>
              <w:jc w:val="right"/>
            </w:pPr>
            <w:r>
              <w:rPr>
                <w:rFonts w:ascii="Arial" w:cs="Arial" w:eastAsia="Arial" w:hAnsi="Arial"/>
                <w:sz w:val="20"/>
                <w:szCs w:val="20"/>
              </w:rPr>
              <w:t xml:space="preserve">43.5%</w:t>
            </w:r>
          </w:p>
        </w:tc>
      </w:tr>
      <w:tr>
        <w:tc>
          <w:tcPr>
            <w:tcW w:type="dxa" w:w="2300"/>
            <w:tcMar>
              <w:top w:type="dxa" w:w="80"/>
              <w:left w:type="dxa" w:w="120"/>
              <w:bottom w:type="dxa" w:w="80"/>
              <w:right w:type="dxa" w:w="120"/>
            </w:tcMar>
          </w:tcPr>
          <w:p>
            <w:pPr>
              <w:spacing w:after="0" w:line="264"/>
              <w:jc w:val="left"/>
            </w:pPr>
            <w:r>
              <w:rPr>
                <w:rFonts w:ascii="Arial" w:cs="Arial" w:eastAsia="Arial" w:hAnsi="Arial"/>
                <w:sz w:val="20"/>
                <w:szCs w:val="20"/>
              </w:rPr>
              <w:t xml:space="preserve">Europe</w:t>
            </w:r>
          </w:p>
        </w:tc>
        <w:tc>
          <w:tcPr>
            <w:tcW w:type="dxa" w:w="1500"/>
            <w:tcMar>
              <w:top w:type="dxa" w:w="80"/>
              <w:left w:type="dxa" w:w="120"/>
              <w:bottom w:type="dxa" w:w="80"/>
              <w:right w:type="dxa" w:w="120"/>
            </w:tcMar>
          </w:tcPr>
          <w:p>
            <w:pPr>
              <w:spacing w:after="0" w:line="264"/>
              <w:jc w:val="right"/>
            </w:pPr>
            <w:r>
              <w:rPr>
                <w:rFonts w:ascii="Arial" w:cs="Arial" w:eastAsia="Arial" w:hAnsi="Arial"/>
                <w:sz w:val="20"/>
                <w:szCs w:val="20"/>
              </w:rPr>
              <w:t xml:space="preserve">95,596</w:t>
            </w:r>
          </w:p>
        </w:tc>
        <w:tc>
          <w:tcPr>
            <w:tcW w:type="dxa" w:w="1500"/>
            <w:tcMar>
              <w:top w:type="dxa" w:w="80"/>
              <w:left w:type="dxa" w:w="120"/>
              <w:bottom w:type="dxa" w:w="80"/>
              <w:right w:type="dxa" w:w="120"/>
            </w:tcMar>
          </w:tcPr>
          <w:p>
            <w:pPr>
              <w:spacing w:after="0" w:line="264"/>
              <w:jc w:val="right"/>
            </w:pPr>
            <w:r>
              <w:rPr>
                <w:rFonts w:ascii="Arial" w:cs="Arial" w:eastAsia="Arial" w:hAnsi="Arial"/>
                <w:sz w:val="20"/>
                <w:szCs w:val="20"/>
              </w:rPr>
              <w:t xml:space="preserve">26%</w:t>
            </w:r>
          </w:p>
        </w:tc>
        <w:tc>
          <w:tcPr>
            <w:tcW w:type="dxa" w:w="1500"/>
            <w:tcMar>
              <w:top w:type="dxa" w:w="80"/>
              <w:left w:type="dxa" w:w="120"/>
              <w:bottom w:type="dxa" w:w="80"/>
              <w:right w:type="dxa" w:w="120"/>
            </w:tcMar>
          </w:tcPr>
          <w:p>
            <w:pPr>
              <w:spacing w:after="0" w:line="264"/>
              <w:jc w:val="right"/>
            </w:pPr>
            <w:r>
              <w:rPr>
                <w:rFonts w:ascii="Arial" w:cs="Arial" w:eastAsia="Arial" w:hAnsi="Arial"/>
                <w:sz w:val="20"/>
                <w:szCs w:val="20"/>
              </w:rPr>
              <w:t xml:space="preserve">+16%</w:t>
            </w:r>
          </w:p>
        </w:tc>
        <w:tc>
          <w:tcPr>
            <w:tcW w:type="dxa" w:w="2560"/>
            <w:tcMar>
              <w:top w:type="dxa" w:w="80"/>
              <w:left w:type="dxa" w:w="120"/>
              <w:bottom w:type="dxa" w:w="80"/>
              <w:right w:type="dxa" w:w="120"/>
            </w:tcMar>
          </w:tcPr>
          <w:p>
            <w:pPr>
              <w:spacing w:after="0" w:line="264"/>
              <w:jc w:val="right"/>
            </w:pPr>
            <w:r>
              <w:rPr>
                <w:rFonts w:ascii="Arial" w:cs="Arial" w:eastAsia="Arial" w:hAnsi="Arial"/>
                <w:sz w:val="20"/>
                <w:szCs w:val="20"/>
              </w:rPr>
              <w:t xml:space="preserve">46.3%</w:t>
            </w:r>
          </w:p>
        </w:tc>
      </w:tr>
      <w:tr>
        <w:tc>
          <w:tcPr>
            <w:tcW w:type="dxa" w:w="2300"/>
            <w:tcMar>
              <w:top w:type="dxa" w:w="80"/>
              <w:left w:type="dxa" w:w="120"/>
              <w:bottom w:type="dxa" w:w="80"/>
              <w:right w:type="dxa" w:w="120"/>
            </w:tcMar>
          </w:tcPr>
          <w:p>
            <w:pPr>
              <w:spacing w:after="0" w:line="264"/>
              <w:jc w:val="left"/>
            </w:pPr>
            <w:r>
              <w:rPr>
                <w:rFonts w:ascii="Arial" w:cs="Arial" w:eastAsia="Arial" w:hAnsi="Arial"/>
                <w:sz w:val="20"/>
                <w:szCs w:val="20"/>
              </w:rPr>
              <w:t xml:space="preserve">Greater China</w:t>
            </w:r>
          </w:p>
        </w:tc>
        <w:tc>
          <w:tcPr>
            <w:tcW w:type="dxa" w:w="1500"/>
            <w:tcMar>
              <w:top w:type="dxa" w:w="80"/>
              <w:left w:type="dxa" w:w="120"/>
              <w:bottom w:type="dxa" w:w="80"/>
              <w:right w:type="dxa" w:w="120"/>
            </w:tcMar>
          </w:tcPr>
          <w:p>
            <w:pPr>
              <w:spacing w:after="0" w:line="264"/>
              <w:jc w:val="right"/>
            </w:pPr>
            <w:r>
              <w:rPr>
                <w:rFonts w:ascii="Arial" w:cs="Arial" w:eastAsia="Arial" w:hAnsi="Arial"/>
                <w:sz w:val="20"/>
                <w:szCs w:val="20"/>
              </w:rPr>
              <w:t xml:space="preserve">64,839</w:t>
            </w:r>
          </w:p>
        </w:tc>
        <w:tc>
          <w:tcPr>
            <w:tcW w:type="dxa" w:w="1500"/>
            <w:tcMar>
              <w:top w:type="dxa" w:w="80"/>
              <w:left w:type="dxa" w:w="120"/>
              <w:bottom w:type="dxa" w:w="80"/>
              <w:right w:type="dxa" w:w="120"/>
            </w:tcMar>
          </w:tcPr>
          <w:p>
            <w:pPr>
              <w:spacing w:after="0" w:line="264"/>
              <w:jc w:val="right"/>
            </w:pPr>
            <w:r>
              <w:rPr>
                <w:rFonts w:ascii="Arial" w:cs="Arial" w:eastAsia="Arial" w:hAnsi="Arial"/>
                <w:sz w:val="20"/>
                <w:szCs w:val="20"/>
              </w:rPr>
              <w:t xml:space="preserve">18%</w:t>
            </w:r>
          </w:p>
        </w:tc>
        <w:tc>
          <w:tcPr>
            <w:tcW w:type="dxa" w:w="1500"/>
            <w:tcMar>
              <w:top w:type="dxa" w:w="80"/>
              <w:left w:type="dxa" w:w="120"/>
              <w:bottom w:type="dxa" w:w="80"/>
              <w:right w:type="dxa" w:w="120"/>
            </w:tcMar>
          </w:tcPr>
          <w:p>
            <w:pPr>
              <w:spacing w:after="0" w:line="264"/>
              <w:jc w:val="right"/>
            </w:pPr>
            <w:r>
              <w:rPr>
                <w:rFonts w:ascii="Arial" w:cs="Arial" w:eastAsia="Arial" w:hAnsi="Arial"/>
                <w:sz w:val="20"/>
                <w:szCs w:val="20"/>
              </w:rPr>
              <w:t xml:space="preserve">+30%</w:t>
            </w:r>
          </w:p>
        </w:tc>
        <w:tc>
          <w:tcPr>
            <w:tcW w:type="dxa" w:w="2560"/>
            <w:tcMar>
              <w:top w:type="dxa" w:w="80"/>
              <w:left w:type="dxa" w:w="120"/>
              <w:bottom w:type="dxa" w:w="80"/>
              <w:right w:type="dxa" w:w="120"/>
            </w:tcMar>
          </w:tcPr>
          <w:p>
            <w:pPr>
              <w:spacing w:after="0" w:line="264"/>
              <w:jc w:val="right"/>
            </w:pPr>
            <w:r>
              <w:rPr>
                <w:rFonts w:ascii="Arial" w:cs="Arial" w:eastAsia="Arial" w:hAnsi="Arial"/>
                <w:sz w:val="20"/>
                <w:szCs w:val="20"/>
              </w:rPr>
              <w:t xml:space="preserve">43.8%</w:t>
            </w:r>
          </w:p>
        </w:tc>
      </w:tr>
      <w:tr>
        <w:tc>
          <w:tcPr>
            <w:tcW w:type="dxa" w:w="2300"/>
            <w:tcMar>
              <w:top w:type="dxa" w:w="80"/>
              <w:left w:type="dxa" w:w="120"/>
              <w:bottom w:type="dxa" w:w="80"/>
              <w:right w:type="dxa" w:w="120"/>
            </w:tcMar>
          </w:tcPr>
          <w:p>
            <w:pPr>
              <w:spacing w:after="0" w:line="264"/>
              <w:jc w:val="left"/>
            </w:pPr>
            <w:r>
              <w:rPr>
                <w:rFonts w:ascii="Arial" w:cs="Arial" w:eastAsia="Arial" w:hAnsi="Arial"/>
                <w:sz w:val="20"/>
                <w:szCs w:val="20"/>
              </w:rPr>
              <w:t xml:space="preserve">Japan</w:t>
            </w:r>
          </w:p>
        </w:tc>
        <w:tc>
          <w:tcPr>
            <w:tcW w:type="dxa" w:w="1500"/>
            <w:tcMar>
              <w:top w:type="dxa" w:w="80"/>
              <w:left w:type="dxa" w:w="120"/>
              <w:bottom w:type="dxa" w:w="80"/>
              <w:right w:type="dxa" w:w="120"/>
            </w:tcMar>
          </w:tcPr>
          <w:p>
            <w:pPr>
              <w:spacing w:after="0" w:line="264"/>
              <w:jc w:val="right"/>
            </w:pPr>
            <w:r>
              <w:rPr>
                <w:rFonts w:ascii="Arial" w:cs="Arial" w:eastAsia="Arial" w:hAnsi="Arial"/>
                <w:sz w:val="20"/>
                <w:szCs w:val="20"/>
              </w:rPr>
              <w:t xml:space="preserve">24,368</w:t>
            </w:r>
          </w:p>
        </w:tc>
        <w:tc>
          <w:tcPr>
            <w:tcW w:type="dxa" w:w="1500"/>
            <w:tcMar>
              <w:top w:type="dxa" w:w="80"/>
              <w:left w:type="dxa" w:w="120"/>
              <w:bottom w:type="dxa" w:w="80"/>
              <w:right w:type="dxa" w:w="120"/>
            </w:tcMar>
          </w:tcPr>
          <w:p>
            <w:pPr>
              <w:spacing w:after="0" w:line="264"/>
              <w:jc w:val="right"/>
            </w:pPr>
            <w:r>
              <w:rPr>
                <w:rFonts w:ascii="Arial" w:cs="Arial" w:eastAsia="Arial" w:hAnsi="Arial"/>
                <w:sz w:val="20"/>
                <w:szCs w:val="20"/>
              </w:rPr>
              <w:t xml:space="preserve">7%</w:t>
            </w:r>
          </w:p>
        </w:tc>
        <w:tc>
          <w:tcPr>
            <w:tcW w:type="dxa" w:w="1500"/>
            <w:tcMar>
              <w:top w:type="dxa" w:w="80"/>
              <w:left w:type="dxa" w:w="120"/>
              <w:bottom w:type="dxa" w:w="80"/>
              <w:right w:type="dxa" w:w="120"/>
            </w:tcMar>
          </w:tcPr>
          <w:p>
            <w:pPr>
              <w:spacing w:after="0" w:line="264"/>
              <w:jc w:val="right"/>
            </w:pPr>
            <w:r>
              <w:rPr>
                <w:rFonts w:ascii="Arial" w:cs="Arial" w:eastAsia="Arial" w:hAnsi="Arial"/>
                <w:sz w:val="20"/>
                <w:szCs w:val="20"/>
              </w:rPr>
              <w:t xml:space="preserve">+10%</w:t>
            </w:r>
          </w:p>
        </w:tc>
        <w:tc>
          <w:tcPr>
            <w:tcW w:type="dxa" w:w="2560"/>
            <w:tcMar>
              <w:top w:type="dxa" w:w="80"/>
              <w:left w:type="dxa" w:w="120"/>
              <w:bottom w:type="dxa" w:w="80"/>
              <w:right w:type="dxa" w:w="120"/>
            </w:tcMar>
          </w:tcPr>
          <w:p>
            <w:pPr>
              <w:spacing w:after="0" w:line="264"/>
              <w:jc w:val="right"/>
            </w:pPr>
            <w:r>
              <w:rPr>
                <w:rFonts w:ascii="Arial" w:cs="Arial" w:eastAsia="Arial" w:hAnsi="Arial"/>
                <w:sz w:val="20"/>
                <w:szCs w:val="20"/>
              </w:rPr>
              <w:t xml:space="preserve">47.0%</w:t>
            </w:r>
          </w:p>
        </w:tc>
      </w:tr>
      <w:tr>
        <w:tc>
          <w:tcPr>
            <w:tcW w:type="dxa" w:w="2300"/>
            <w:tcMar>
              <w:top w:type="dxa" w:w="80"/>
              <w:left w:type="dxa" w:w="120"/>
              <w:bottom w:type="dxa" w:w="80"/>
              <w:right w:type="dxa" w:w="120"/>
            </w:tcMar>
          </w:tcPr>
          <w:p>
            <w:pPr>
              <w:spacing w:after="0" w:line="264"/>
              <w:jc w:val="left"/>
            </w:pPr>
            <w:r>
              <w:rPr>
                <w:rFonts w:ascii="Arial" w:cs="Arial" w:eastAsia="Arial" w:hAnsi="Arial"/>
                <w:sz w:val="20"/>
                <w:szCs w:val="20"/>
              </w:rPr>
              <w:t xml:space="preserve">Rest of Asia Pacific</w:t>
            </w:r>
          </w:p>
        </w:tc>
        <w:tc>
          <w:tcPr>
            <w:tcW w:type="dxa" w:w="1500"/>
            <w:tcMar>
              <w:top w:type="dxa" w:w="80"/>
              <w:left w:type="dxa" w:w="120"/>
              <w:bottom w:type="dxa" w:w="80"/>
              <w:right w:type="dxa" w:w="120"/>
            </w:tcMar>
          </w:tcPr>
          <w:p>
            <w:pPr>
              <w:spacing w:after="0" w:line="264"/>
              <w:jc w:val="right"/>
            </w:pPr>
            <w:r>
              <w:rPr>
                <w:rFonts w:ascii="Arial" w:cs="Arial" w:eastAsia="Arial" w:hAnsi="Arial"/>
                <w:sz w:val="20"/>
                <w:szCs w:val="20"/>
              </w:rPr>
              <w:t xml:space="preserve">30,151</w:t>
            </w:r>
          </w:p>
        </w:tc>
        <w:tc>
          <w:tcPr>
            <w:tcW w:type="dxa" w:w="1500"/>
            <w:tcMar>
              <w:top w:type="dxa" w:w="80"/>
              <w:left w:type="dxa" w:w="120"/>
              <w:bottom w:type="dxa" w:w="80"/>
              <w:right w:type="dxa" w:w="120"/>
            </w:tcMar>
          </w:tcPr>
          <w:p>
            <w:pPr>
              <w:spacing w:after="0" w:line="264"/>
              <w:jc w:val="right"/>
            </w:pPr>
            <w:r>
              <w:rPr>
                <w:rFonts w:ascii="Arial" w:cs="Arial" w:eastAsia="Arial" w:hAnsi="Arial"/>
                <w:sz w:val="20"/>
                <w:szCs w:val="20"/>
              </w:rPr>
              <w:t xml:space="preserve">8%</w:t>
            </w:r>
          </w:p>
        </w:tc>
        <w:tc>
          <w:tcPr>
            <w:tcW w:type="dxa" w:w="1500"/>
            <w:tcMar>
              <w:top w:type="dxa" w:w="80"/>
              <w:left w:type="dxa" w:w="120"/>
              <w:bottom w:type="dxa" w:w="80"/>
              <w:right w:type="dxa" w:w="120"/>
            </w:tcMar>
          </w:tcPr>
          <w:p>
            <w:pPr>
              <w:spacing w:after="0" w:line="264"/>
              <w:jc w:val="right"/>
            </w:pPr>
            <w:r>
              <w:rPr>
                <w:rFonts w:ascii="Arial" w:cs="Arial" w:eastAsia="Arial" w:hAnsi="Arial"/>
                <w:sz w:val="20"/>
                <w:szCs w:val="20"/>
              </w:rPr>
              <w:t xml:space="preserve">+19%</w:t>
            </w:r>
          </w:p>
        </w:tc>
        <w:tc>
          <w:tcPr>
            <w:tcW w:type="dxa" w:w="2560"/>
            <w:tcMar>
              <w:top w:type="dxa" w:w="80"/>
              <w:left w:type="dxa" w:w="120"/>
              <w:bottom w:type="dxa" w:w="80"/>
              <w:right w:type="dxa" w:w="120"/>
            </w:tcMar>
          </w:tcPr>
          <w:p>
            <w:pPr>
              <w:spacing w:after="0" w:line="264"/>
              <w:jc w:val="right"/>
            </w:pPr>
            <w:r>
              <w:rPr>
                <w:rFonts w:ascii="Arial" w:cs="Arial" w:eastAsia="Arial" w:hAnsi="Arial"/>
                <w:sz w:val="20"/>
                <w:szCs w:val="20"/>
              </w:rPr>
              <w:t xml:space="preserve">46.4%</w:t>
            </w:r>
          </w:p>
        </w:tc>
      </w:tr>
    </w:tbl>
    <w:p>
      <w:pPr>
        <w:spacing w:after="200" w:before="100" w:line="264"/>
      </w:pPr>
      <w:r>
        <w:rPr>
          <w:rFonts w:ascii="Arial" w:cs="Arial" w:eastAsia="Arial" w:hAnsi="Arial"/>
          <w:i/>
          <w:iCs/>
          <w:color w:val="595959"/>
          <w:sz w:val="18"/>
          <w:szCs w:val="18"/>
        </w:rPr>
        <w:t xml:space="preserve">$ millions. Source: FY2026 Q3 10-Q segment note. Segment operating margin computed from disclosed segment operating income and net sales; segment operating income excludes corporate research and development and general and administrative expense of $40.7bn, so these margins are not comparable to the company operating margin of 33.6%.</w:t>
      </w:r>
    </w:p>
    <w:p>
      <w:pPr>
        <w:pStyle w:val="Heading2"/>
        <w:spacing w:after="180" w:before="180"/>
      </w:pPr>
      <w:r>
        <w:rPr>
          <w:rFonts w:ascii="Arial" w:cs="Arial" w:eastAsia="Arial" w:hAnsi="Arial"/>
          <w:b/>
          <w:bCs/>
          <w:color w:val="1F3864"/>
          <w:sz w:val="28"/>
          <w:szCs w:val="28"/>
        </w:rPr>
        <w:t xml:space="preserve">Where the business sits in its cycle</w:t>
      </w:r>
    </w:p>
    <w:p>
      <w:pPr>
        <w:spacing w:after="160" w:line="276"/>
      </w:pPr>
      <w:r>
        <w:rPr>
          <w:rFonts w:ascii="Arial" w:cs="Arial" w:eastAsia="Arial" w:hAnsi="Arial"/>
          <w:sz w:val="22"/>
          <w:szCs w:val="22"/>
        </w:rPr>
        <w:t xml:space="preserve">On its own history, Apple is at a peak on every metric that matters. Revenue, gross margin, operating margin and Greater China segment profit are all at or near records. Consolidated gross margin of 50.1% in the June 2026 quarter is the highest ever recorded, against 37.8% at the FY2019 trough. Greater China revenue of $64.8bn in nine months already exceeds the whole of FY2025 and approaches the FY2022 peak of $74.2bn on an annualised basis, having troughed at $64.4bn in FY2025.</w:t>
      </w:r>
    </w:p>
    <w:p>
      <w:pPr>
        <w:spacing w:after="160" w:line="276"/>
      </w:pPr>
      <w:r>
        <w:rPr>
          <w:rFonts w:ascii="Arial" w:cs="Arial" w:eastAsia="Arial" w:hAnsi="Arial"/>
          <w:sz w:val="22"/>
          <w:szCs w:val="22"/>
        </w:rPr>
        <w:t xml:space="preserve">The industry, however, is at the opposite point of a different cycle, and this is the central tension in the business today. Memory prices have risen further and faster than at any point on record. TrendForce reported conventional DRAM contract prices up 90-95% quarter-on-quarter in Q1 2026 — "the steepest increases in their history" — followed by 58-63% in Q2 and 13-18% in Q3; mobile LPDDR5X rose 78-83% in Q2 alone. IDC states NAND and DRAM costs are up more than 300% year on year and expects prices to keep rising "until at least 2028."</w:t>
      </w:r>
    </w:p>
    <w:p>
      <w:pPr>
        <w:spacing w:after="160" w:line="276"/>
      </w:pPr>
      <w:r>
        <w:rPr>
          <w:rFonts w:ascii="Arial" w:cs="Arial" w:eastAsia="Arial" w:hAnsi="Arial"/>
          <w:sz w:val="22"/>
          <w:szCs w:val="22"/>
        </w:rPr>
        <w:t xml:space="preserve">The supplier economics confirm the transfer. Micron reported quarterly revenue of $41.5bn against $9.3bn a year earlier, at an 84.6% gross margin. SK hynix grew operating profit 557% to a 76% operating margin. This is the value of the industry’s profit pool relocating from device makers to memory makers, and Apple sits on the paying side of it: Samsung manufactures memory, and Apple buys it.</w:t>
      </w:r>
    </w:p>
    <w:p>
      <w:pPr>
        <w:spacing w:after="160" w:line="276"/>
      </w:pPr>
      <w:r>
        <w:rPr>
          <w:rFonts w:ascii="Arial" w:cs="Arial" w:eastAsia="Arial" w:hAnsi="Arial"/>
          <w:sz w:val="22"/>
          <w:szCs w:val="22"/>
        </w:rPr>
        <w:t xml:space="preserve">Apple’s own FY2026 Q3 10-Q is unusually direct about what follows. It states that the company "is experiencing a period of supply constraints and increasing costs for components driven by factors such as industry supply-demand imbalances for components, including advanced semiconductors, storage (NAND) and memory (DRAM)," and that it "expects these trends to intensify, which may materially adversely impact the Company’s revenue, costs, gross margin, results of operations and financial condition." It adds that mitigating price increases "may not effectively mitigate these negative impacts, and may also reduce demand." That language did not appear in the FY2025 10-K.</w:t>
      </w:r>
    </w:p>
    <w:p>
      <w:pPr>
        <w:spacing w:after="160" w:line="276"/>
      </w:pPr>
      <w:r>
        <w:rPr>
          <w:rFonts w:ascii="Arial" w:cs="Arial" w:eastAsia="Arial" w:hAnsi="Arial"/>
          <w:sz w:val="22"/>
          <w:szCs w:val="22"/>
        </w:rPr>
        <w:t xml:space="preserve">The downside case is therefore not a demand recession but a margin compression Apple has already described. The mechanism runs as follows: memory contracted at 2026 prices flows into cost of sales with a lag of several quarters as inventory turns; the tariff refunds currently offsetting it are non-recurring; the pre-purchased inventory that cushioned the June quarter is finite at $11.1bn; and Apple’s options are to absorb the cost in Products gross margin or raise prices, which the 10-Q states "may also reduce demand" and which would forfeit the share gains it won by holding price. IDC expects Apple’s 2026 unit shipments to fall only 1.3% against 24.3% for Android, so the exposure is to margin rather than to volume.</w:t>
      </w:r>
    </w:p>
    <w:p>
      <w:pPr>
        <w:pStyle w:val="Heading2"/>
        <w:spacing w:after="180" w:before="180"/>
      </w:pPr>
      <w:r>
        <w:rPr>
          <w:rFonts w:ascii="Arial" w:cs="Arial" w:eastAsia="Arial" w:hAnsi="Arial"/>
          <w:b/>
          <w:bCs/>
          <w:color w:val="1F3864"/>
          <w:sz w:val="28"/>
          <w:szCs w:val="28"/>
        </w:rPr>
        <w:t xml:space="preserve">Durable versus borrowed</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4680"/>
        <w:gridCol w:w="4680"/>
      </w:tblGrid>
      <w:tr>
        <w:tc>
          <w:tcPr>
            <w:tcW w:type="dxa" w:w="4680"/>
            <w:shd w:fill="F2F2F2"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Durable — survives ten years</w:t>
            </w:r>
          </w:p>
        </w:tc>
        <w:tc>
          <w:tcPr>
            <w:tcW w:type="dxa" w:w="4680"/>
            <w:shd w:fill="F2F2F2"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Borrowed — currently helping</w:t>
            </w:r>
          </w:p>
        </w:tc>
      </w:tr>
      <w:tr>
        <w:tc>
          <w:tcPr>
            <w:tcW w:type="dxa" w:w="4680"/>
            <w:tcMar>
              <w:top w:type="dxa" w:w="80"/>
              <w:left w:type="dxa" w:w="120"/>
              <w:bottom w:type="dxa" w:w="80"/>
              <w:right w:type="dxa" w:w="120"/>
            </w:tcMar>
          </w:tcPr>
          <w:p>
            <w:pPr>
              <w:spacing w:after="0" w:line="264"/>
              <w:jc w:val="left"/>
            </w:pPr>
            <w:r>
              <w:rPr>
                <w:rFonts w:ascii="Arial" w:cs="Arial" w:eastAsia="Arial" w:hAnsi="Arial"/>
                <w:sz w:val="20"/>
                <w:szCs w:val="20"/>
              </w:rPr>
              <w:t xml:space="preserve">Installed base above 2.5bn active devices, more than 1bn active iPhones, compounding independently of any one product cycle</w:t>
            </w:r>
          </w:p>
        </w:tc>
        <w:tc>
          <w:tcPr>
            <w:tcW w:type="dxa" w:w="4680"/>
            <w:tcMar>
              <w:top w:type="dxa" w:w="80"/>
              <w:left w:type="dxa" w:w="120"/>
              <w:bottom w:type="dxa" w:w="80"/>
              <w:right w:type="dxa" w:w="120"/>
            </w:tcMar>
          </w:tcPr>
          <w:p>
            <w:pPr>
              <w:spacing w:after="0" w:line="264"/>
              <w:jc w:val="left"/>
            </w:pPr>
            <w:r>
              <w:rPr>
                <w:rFonts w:ascii="Arial" w:cs="Arial" w:eastAsia="Arial" w:hAnsi="Arial"/>
                <w:sz w:val="20"/>
                <w:szCs w:val="20"/>
              </w:rPr>
              <w:t xml:space="preserve">Tariff refunds reducing FY2026 products cost of sales; a recovery of prior-period cost, amount undisclosed, and non-recurring</w:t>
            </w:r>
          </w:p>
        </w:tc>
      </w:tr>
      <w:tr>
        <w:tc>
          <w:tcPr>
            <w:tcW w:type="dxa" w:w="4680"/>
            <w:tcMar>
              <w:top w:type="dxa" w:w="80"/>
              <w:left w:type="dxa" w:w="120"/>
              <w:bottom w:type="dxa" w:w="80"/>
              <w:right w:type="dxa" w:w="120"/>
            </w:tcMar>
          </w:tcPr>
          <w:p>
            <w:pPr>
              <w:spacing w:after="0" w:line="264"/>
              <w:jc w:val="left"/>
            </w:pPr>
            <w:r>
              <w:rPr>
                <w:rFonts w:ascii="Arial" w:cs="Arial" w:eastAsia="Arial" w:hAnsi="Arial"/>
                <w:sz w:val="20"/>
                <w:szCs w:val="20"/>
              </w:rPr>
              <w:t xml:space="preserve">Services at a 75.6% gross margin, 26% of revenue and 40% of gross profit, growing with devices in use rather than devices sold</w:t>
            </w:r>
          </w:p>
        </w:tc>
        <w:tc>
          <w:tcPr>
            <w:tcW w:type="dxa" w:w="4680"/>
            <w:tcMar>
              <w:top w:type="dxa" w:w="80"/>
              <w:left w:type="dxa" w:w="120"/>
              <w:bottom w:type="dxa" w:w="80"/>
              <w:right w:type="dxa" w:w="120"/>
            </w:tcMar>
          </w:tcPr>
          <w:p>
            <w:pPr>
              <w:spacing w:after="0" w:line="264"/>
              <w:jc w:val="left"/>
            </w:pPr>
            <w:r>
              <w:rPr>
                <w:rFonts w:ascii="Arial" w:cs="Arial" w:eastAsia="Arial" w:hAnsi="Arial"/>
                <w:sz w:val="20"/>
                <w:szCs w:val="20"/>
              </w:rPr>
              <w:t xml:space="preserve">Greater China demand pulled forward ahead of expected price increases (IDC, Q2 2026) — volume borrowed from later quarters</w:t>
            </w:r>
          </w:p>
        </w:tc>
      </w:tr>
      <w:tr>
        <w:tc>
          <w:tcPr>
            <w:tcW w:type="dxa" w:w="4680"/>
            <w:tcMar>
              <w:top w:type="dxa" w:w="80"/>
              <w:left w:type="dxa" w:w="120"/>
              <w:bottom w:type="dxa" w:w="80"/>
              <w:right w:type="dxa" w:w="120"/>
            </w:tcMar>
          </w:tcPr>
          <w:p>
            <w:pPr>
              <w:spacing w:after="0" w:line="264"/>
              <w:jc w:val="left"/>
            </w:pPr>
            <w:r>
              <w:rPr>
                <w:rFonts w:ascii="Arial" w:cs="Arial" w:eastAsia="Arial" w:hAnsi="Arial"/>
                <w:sz w:val="20"/>
                <w:szCs w:val="20"/>
              </w:rPr>
              <w:t xml:space="preserve">Control of silicon, operating system and distribution together — the source of the 40-point product margin buffer that let Apple hold price in 2026</w:t>
            </w:r>
          </w:p>
        </w:tc>
        <w:tc>
          <w:tcPr>
            <w:tcW w:type="dxa" w:w="4680"/>
            <w:tcMar>
              <w:top w:type="dxa" w:w="80"/>
              <w:left w:type="dxa" w:w="120"/>
              <w:bottom w:type="dxa" w:w="80"/>
              <w:right w:type="dxa" w:w="120"/>
            </w:tcMar>
          </w:tcPr>
          <w:p>
            <w:pPr>
              <w:spacing w:after="0" w:line="264"/>
              <w:jc w:val="left"/>
            </w:pPr>
            <w:r>
              <w:rPr>
                <w:rFonts w:ascii="Arial" w:cs="Arial" w:eastAsia="Arial" w:hAnsi="Arial"/>
                <w:sz w:val="20"/>
                <w:szCs w:val="20"/>
              </w:rPr>
              <w:t xml:space="preserve">Memory purchased before the price shock; inventories nearly doubled to $11.1bn, a cushion that depletes as it turns</w:t>
            </w:r>
          </w:p>
        </w:tc>
      </w:tr>
      <w:tr>
        <w:tc>
          <w:tcPr>
            <w:tcW w:type="dxa" w:w="4680"/>
            <w:tcMar>
              <w:top w:type="dxa" w:w="80"/>
              <w:left w:type="dxa" w:w="120"/>
              <w:bottom w:type="dxa" w:w="80"/>
              <w:right w:type="dxa" w:w="120"/>
            </w:tcMar>
          </w:tcPr>
          <w:p>
            <w:pPr>
              <w:spacing w:after="0" w:line="264"/>
              <w:jc w:val="left"/>
            </w:pPr>
            <w:r>
              <w:rPr>
                <w:rFonts w:ascii="Arial" w:cs="Arial" w:eastAsia="Arial" w:hAnsi="Arial"/>
                <w:sz w:val="20"/>
                <w:szCs w:val="20"/>
              </w:rPr>
              <w:t xml:space="preserve">65% of the premium tier, itself now 29% of the market and growing (Counterpoint, H1 2026)</w:t>
            </w:r>
          </w:p>
        </w:tc>
        <w:tc>
          <w:tcPr>
            <w:tcW w:type="dxa" w:w="4680"/>
            <w:tcMar>
              <w:top w:type="dxa" w:w="80"/>
              <w:left w:type="dxa" w:w="120"/>
              <w:bottom w:type="dxa" w:w="80"/>
              <w:right w:type="dxa" w:w="120"/>
            </w:tcMar>
          </w:tcPr>
          <w:p>
            <w:pPr>
              <w:spacing w:after="0" w:line="264"/>
              <w:jc w:val="left"/>
            </w:pPr>
            <w:r>
              <w:rPr>
                <w:rFonts w:ascii="Arial" w:cs="Arial" w:eastAsia="Arial" w:hAnsi="Arial"/>
                <w:sz w:val="20"/>
                <w:szCs w:val="20"/>
              </w:rPr>
              <w:t xml:space="preserve">Share gains from Android rivals raising prices under cost distress — reverses when component prices normalise</w:t>
            </w:r>
          </w:p>
        </w:tc>
      </w:tr>
      <w:tr>
        <w:tc>
          <w:tcPr>
            <w:tcW w:type="dxa" w:w="4680"/>
            <w:tcMar>
              <w:top w:type="dxa" w:w="80"/>
              <w:left w:type="dxa" w:w="120"/>
              <w:bottom w:type="dxa" w:w="80"/>
              <w:right w:type="dxa" w:w="120"/>
            </w:tcMar>
          </w:tcPr>
          <w:p>
            <w:pPr>
              <w:spacing w:after="0" w:line="264"/>
              <w:jc w:val="left"/>
            </w:pPr>
            <w:r>
              <w:rPr>
                <w:rFonts w:ascii="Arial" w:cs="Arial" w:eastAsia="Arial" w:hAnsi="Arial"/>
                <w:sz w:val="20"/>
                <w:szCs w:val="20"/>
              </w:rPr>
              <w:t xml:space="preserve">Capital return machinery: $577.8bn repurchased FY2019-FY2025, share count down 20.9%, funded from operating cash flow</w:t>
            </w:r>
          </w:p>
        </w:tc>
        <w:tc>
          <w:tcPr>
            <w:tcW w:type="dxa" w:w="4680"/>
            <w:tcMar>
              <w:top w:type="dxa" w:w="80"/>
              <w:left w:type="dxa" w:w="120"/>
              <w:bottom w:type="dxa" w:w="80"/>
              <w:right w:type="dxa" w:w="120"/>
            </w:tcMar>
          </w:tcPr>
          <w:p>
            <w:pPr>
              <w:spacing w:after="0" w:line="264"/>
              <w:jc w:val="left"/>
            </w:pPr>
            <w:r>
              <w:rPr>
                <w:rFonts w:ascii="Arial" w:cs="Arial" w:eastAsia="Arial" w:hAnsi="Arial"/>
                <w:sz w:val="20"/>
                <w:szCs w:val="20"/>
              </w:rPr>
              <w:t xml:space="preserve">Google search-default payments — near-100% margin, now limited to one-year terms and under DOJ cross-appeal to be banned outright</w:t>
            </w:r>
          </w:p>
        </w:tc>
      </w:tr>
    </w:tbl>
    <w:p>
      <w:pPr>
        <w:pStyle w:val="Heading2"/>
        <w:spacing w:after="180" w:before="180"/>
      </w:pPr>
      <w:r>
        <w:rPr>
          <w:rFonts w:ascii="Arial" w:cs="Arial" w:eastAsia="Arial" w:hAnsi="Arial"/>
          <w:b/>
          <w:bCs/>
          <w:color w:val="1F3864"/>
          <w:sz w:val="28"/>
          <w:szCs w:val="28"/>
        </w:rPr>
        <w:t xml:space="preserve">Leading indicators, and where they are published</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900"/>
        <w:gridCol w:w="5460"/>
      </w:tblGrid>
      <w:tr>
        <w:tc>
          <w:tcPr>
            <w:tcW w:type="dxa" w:w="3900"/>
            <w:shd w:fill="F2F2F2"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Indicator</w:t>
            </w:r>
          </w:p>
        </w:tc>
        <w:tc>
          <w:tcPr>
            <w:tcW w:type="dxa" w:w="5460"/>
            <w:shd w:fill="F2F2F2"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Where it is published</w:t>
            </w:r>
          </w:p>
        </w:tc>
      </w:tr>
      <w:tr>
        <w:tc>
          <w:tcPr>
            <w:tcW w:type="dxa" w:w="3900"/>
            <w:tcMar>
              <w:top w:type="dxa" w:w="80"/>
              <w:left w:type="dxa" w:w="120"/>
              <w:bottom w:type="dxa" w:w="80"/>
              <w:right w:type="dxa" w:w="120"/>
            </w:tcMar>
          </w:tcPr>
          <w:p>
            <w:pPr>
              <w:spacing w:after="0" w:line="264"/>
              <w:jc w:val="left"/>
            </w:pPr>
            <w:r>
              <w:rPr>
                <w:rFonts w:ascii="Arial" w:cs="Arial" w:eastAsia="Arial" w:hAnsi="Arial"/>
                <w:sz w:val="20"/>
                <w:szCs w:val="20"/>
              </w:rPr>
              <w:t xml:space="preserve">DRAM and NAND contract prices, monthly and quarterly</w:t>
            </w:r>
          </w:p>
        </w:tc>
        <w:tc>
          <w:tcPr>
            <w:tcW w:type="dxa" w:w="5460"/>
            <w:tcMar>
              <w:top w:type="dxa" w:w="80"/>
              <w:left w:type="dxa" w:w="120"/>
              <w:bottom w:type="dxa" w:w="80"/>
              <w:right w:type="dxa" w:w="120"/>
            </w:tcMar>
          </w:tcPr>
          <w:p>
            <w:pPr>
              <w:spacing w:after="0" w:line="264"/>
              <w:jc w:val="left"/>
            </w:pPr>
            <w:r>
              <w:rPr>
                <w:rFonts w:ascii="Arial" w:cs="Arial" w:eastAsia="Arial" w:hAnsi="Arial"/>
                <w:sz w:val="20"/>
                <w:szCs w:val="20"/>
              </w:rPr>
              <w:t xml:space="preserve">TrendForce price bulletins; Micron and SK hynix quarterly results</w:t>
            </w:r>
          </w:p>
        </w:tc>
      </w:tr>
      <w:tr>
        <w:tc>
          <w:tcPr>
            <w:tcW w:type="dxa" w:w="3900"/>
            <w:tcMar>
              <w:top w:type="dxa" w:w="80"/>
              <w:left w:type="dxa" w:w="120"/>
              <w:bottom w:type="dxa" w:w="80"/>
              <w:right w:type="dxa" w:w="120"/>
            </w:tcMar>
          </w:tcPr>
          <w:p>
            <w:pPr>
              <w:spacing w:after="0" w:line="264"/>
              <w:jc w:val="left"/>
            </w:pPr>
            <w:r>
              <w:rPr>
                <w:rFonts w:ascii="Arial" w:cs="Arial" w:eastAsia="Arial" w:hAnsi="Arial"/>
                <w:sz w:val="20"/>
                <w:szCs w:val="20"/>
              </w:rPr>
              <w:t xml:space="preserve">Products gross margin percentage, and the stated drivers beneath it</w:t>
            </w:r>
          </w:p>
        </w:tc>
        <w:tc>
          <w:tcPr>
            <w:tcW w:type="dxa" w:w="5460"/>
            <w:tcMar>
              <w:top w:type="dxa" w:w="80"/>
              <w:left w:type="dxa" w:w="120"/>
              <w:bottom w:type="dxa" w:w="80"/>
              <w:right w:type="dxa" w:w="120"/>
            </w:tcMar>
          </w:tcPr>
          <w:p>
            <w:pPr>
              <w:spacing w:after="0" w:line="264"/>
              <w:jc w:val="left"/>
            </w:pPr>
            <w:r>
              <w:rPr>
                <w:rFonts w:ascii="Arial" w:cs="Arial" w:eastAsia="Arial" w:hAnsi="Arial"/>
                <w:sz w:val="20"/>
                <w:szCs w:val="20"/>
              </w:rPr>
              <w:t xml:space="preserve">Apple 10-Q, MD&amp;A gross margin table — watch for the disappearance of "tariff refunds" from the driver list</w:t>
            </w:r>
          </w:p>
        </w:tc>
      </w:tr>
      <w:tr>
        <w:tc>
          <w:tcPr>
            <w:tcW w:type="dxa" w:w="3900"/>
            <w:tcMar>
              <w:top w:type="dxa" w:w="80"/>
              <w:left w:type="dxa" w:w="120"/>
              <w:bottom w:type="dxa" w:w="80"/>
              <w:right w:type="dxa" w:w="120"/>
            </w:tcMar>
          </w:tcPr>
          <w:p>
            <w:pPr>
              <w:spacing w:after="0" w:line="264"/>
              <w:jc w:val="left"/>
            </w:pPr>
            <w:r>
              <w:rPr>
                <w:rFonts w:ascii="Arial" w:cs="Arial" w:eastAsia="Arial" w:hAnsi="Arial"/>
                <w:sz w:val="20"/>
                <w:szCs w:val="20"/>
              </w:rPr>
              <w:t xml:space="preserve">Inventory balance and manufacturing purchase obligations</w:t>
            </w:r>
          </w:p>
        </w:tc>
        <w:tc>
          <w:tcPr>
            <w:tcW w:type="dxa" w:w="5460"/>
            <w:tcMar>
              <w:top w:type="dxa" w:w="80"/>
              <w:left w:type="dxa" w:w="120"/>
              <w:bottom w:type="dxa" w:w="80"/>
              <w:right w:type="dxa" w:w="120"/>
            </w:tcMar>
          </w:tcPr>
          <w:p>
            <w:pPr>
              <w:spacing w:after="0" w:line="264"/>
              <w:jc w:val="left"/>
            </w:pPr>
            <w:r>
              <w:rPr>
                <w:rFonts w:ascii="Arial" w:cs="Arial" w:eastAsia="Arial" w:hAnsi="Arial"/>
                <w:sz w:val="20"/>
                <w:szCs w:val="20"/>
              </w:rPr>
              <w:t xml:space="preserve">Apple 10-Q balance sheet and contractual obligations note</w:t>
            </w:r>
          </w:p>
        </w:tc>
      </w:tr>
      <w:tr>
        <w:tc>
          <w:tcPr>
            <w:tcW w:type="dxa" w:w="3900"/>
            <w:tcMar>
              <w:top w:type="dxa" w:w="80"/>
              <w:left w:type="dxa" w:w="120"/>
              <w:bottom w:type="dxa" w:w="80"/>
              <w:right w:type="dxa" w:w="120"/>
            </w:tcMar>
          </w:tcPr>
          <w:p>
            <w:pPr>
              <w:spacing w:after="0" w:line="264"/>
              <w:jc w:val="left"/>
            </w:pPr>
            <w:r>
              <w:rPr>
                <w:rFonts w:ascii="Arial" w:cs="Arial" w:eastAsia="Arial" w:hAnsi="Arial"/>
                <w:sz w:val="20"/>
                <w:szCs w:val="20"/>
              </w:rPr>
              <w:t xml:space="preserve">Greater China net sales and segment operating income</w:t>
            </w:r>
          </w:p>
        </w:tc>
        <w:tc>
          <w:tcPr>
            <w:tcW w:type="dxa" w:w="5460"/>
            <w:tcMar>
              <w:top w:type="dxa" w:w="80"/>
              <w:left w:type="dxa" w:w="120"/>
              <w:bottom w:type="dxa" w:w="80"/>
              <w:right w:type="dxa" w:w="120"/>
            </w:tcMar>
          </w:tcPr>
          <w:p>
            <w:pPr>
              <w:spacing w:after="0" w:line="264"/>
              <w:jc w:val="left"/>
            </w:pPr>
            <w:r>
              <w:rPr>
                <w:rFonts w:ascii="Arial" w:cs="Arial" w:eastAsia="Arial" w:hAnsi="Arial"/>
                <w:sz w:val="20"/>
                <w:szCs w:val="20"/>
              </w:rPr>
              <w:t xml:space="preserve">Apple 10-Q segment note; IDC and Counterpoint China quarterly trackers</w:t>
            </w:r>
          </w:p>
        </w:tc>
      </w:tr>
      <w:tr>
        <w:tc>
          <w:tcPr>
            <w:tcW w:type="dxa" w:w="3900"/>
            <w:tcMar>
              <w:top w:type="dxa" w:w="80"/>
              <w:left w:type="dxa" w:w="120"/>
              <w:bottom w:type="dxa" w:w="80"/>
              <w:right w:type="dxa" w:w="120"/>
            </w:tcMar>
          </w:tcPr>
          <w:p>
            <w:pPr>
              <w:spacing w:after="0" w:line="264"/>
              <w:jc w:val="left"/>
            </w:pPr>
            <w:r>
              <w:rPr>
                <w:rFonts w:ascii="Arial" w:cs="Arial" w:eastAsia="Arial" w:hAnsi="Arial"/>
                <w:sz w:val="20"/>
                <w:szCs w:val="20"/>
              </w:rPr>
              <w:t xml:space="preserve">The commission rate set on US external App Store purchases</w:t>
            </w:r>
          </w:p>
        </w:tc>
        <w:tc>
          <w:tcPr>
            <w:tcW w:type="dxa" w:w="5460"/>
            <w:tcMar>
              <w:top w:type="dxa" w:w="80"/>
              <w:left w:type="dxa" w:w="120"/>
              <w:bottom w:type="dxa" w:w="80"/>
              <w:right w:type="dxa" w:w="120"/>
            </w:tcMar>
          </w:tcPr>
          <w:p>
            <w:pPr>
              <w:spacing w:after="0" w:line="264"/>
              <w:jc w:val="left"/>
            </w:pPr>
            <w:r>
              <w:rPr>
                <w:rFonts w:ascii="Arial" w:cs="Arial" w:eastAsia="Arial" w:hAnsi="Arial"/>
                <w:sz w:val="20"/>
                <w:szCs w:val="20"/>
              </w:rPr>
              <w:t xml:space="preserve">N.D. Cal. docket, Epic Games v. Apple, on remand; US Supreme Court No. 25-1311 (argument not yet scheduled)</w:t>
            </w:r>
          </w:p>
        </w:tc>
      </w:tr>
      <w:tr>
        <w:tc>
          <w:tcPr>
            <w:tcW w:type="dxa" w:w="3900"/>
            <w:tcMar>
              <w:top w:type="dxa" w:w="80"/>
              <w:left w:type="dxa" w:w="120"/>
              <w:bottom w:type="dxa" w:w="80"/>
              <w:right w:type="dxa" w:w="120"/>
            </w:tcMar>
          </w:tcPr>
          <w:p>
            <w:pPr>
              <w:spacing w:after="0" w:line="264"/>
              <w:jc w:val="left"/>
            </w:pPr>
            <w:r>
              <w:rPr>
                <w:rFonts w:ascii="Arial" w:cs="Arial" w:eastAsia="Arial" w:hAnsi="Arial"/>
                <w:sz w:val="20"/>
                <w:szCs w:val="20"/>
              </w:rPr>
              <w:t xml:space="preserve">Whether Google’s payments to Apple survive appeal</w:t>
            </w:r>
          </w:p>
        </w:tc>
        <w:tc>
          <w:tcPr>
            <w:tcW w:type="dxa" w:w="5460"/>
            <w:tcMar>
              <w:top w:type="dxa" w:w="80"/>
              <w:left w:type="dxa" w:w="120"/>
              <w:bottom w:type="dxa" w:w="80"/>
              <w:right w:type="dxa" w:w="120"/>
            </w:tcMar>
          </w:tcPr>
          <w:p>
            <w:pPr>
              <w:spacing w:after="0" w:line="264"/>
              <w:jc w:val="left"/>
            </w:pPr>
            <w:r>
              <w:rPr>
                <w:rFonts w:ascii="Arial" w:cs="Arial" w:eastAsia="Arial" w:hAnsi="Arial"/>
                <w:sz w:val="20"/>
                <w:szCs w:val="20"/>
              </w:rPr>
              <w:t xml:space="preserve">DC Circuit Nos. 26-5023, 26-5047, 26-5049; Google reply brief due 29 September 2026</w:t>
            </w:r>
          </w:p>
        </w:tc>
      </w:tr>
      <w:tr>
        <w:tc>
          <w:tcPr>
            <w:tcW w:type="dxa" w:w="3900"/>
            <w:tcMar>
              <w:top w:type="dxa" w:w="80"/>
              <w:left w:type="dxa" w:w="120"/>
              <w:bottom w:type="dxa" w:w="80"/>
              <w:right w:type="dxa" w:w="120"/>
            </w:tcMar>
          </w:tcPr>
          <w:p>
            <w:pPr>
              <w:spacing w:after="0" w:line="264"/>
              <w:jc w:val="left"/>
            </w:pPr>
            <w:r>
              <w:rPr>
                <w:rFonts w:ascii="Arial" w:cs="Arial" w:eastAsia="Arial" w:hAnsi="Arial"/>
                <w:sz w:val="20"/>
                <w:szCs w:val="20"/>
              </w:rPr>
              <w:t xml:space="preserve">Uptake of the EU 5% Core Technology Commission from 1 October 2026</w:t>
            </w:r>
          </w:p>
        </w:tc>
        <w:tc>
          <w:tcPr>
            <w:tcW w:type="dxa" w:w="5460"/>
            <w:tcMar>
              <w:top w:type="dxa" w:w="80"/>
              <w:left w:type="dxa" w:w="120"/>
              <w:bottom w:type="dxa" w:w="80"/>
              <w:right w:type="dxa" w:w="120"/>
            </w:tcMar>
          </w:tcPr>
          <w:p>
            <w:pPr>
              <w:spacing w:after="0" w:line="264"/>
              <w:jc w:val="left"/>
            </w:pPr>
            <w:r>
              <w:rPr>
                <w:rFonts w:ascii="Arial" w:cs="Arial" w:eastAsia="Arial" w:hAnsi="Arial"/>
                <w:sz w:val="20"/>
                <w:szCs w:val="20"/>
              </w:rPr>
              <w:t xml:space="preserve">European Commission DMA decisions; Apple developer terms</w:t>
            </w:r>
          </w:p>
        </w:tc>
      </w:tr>
      <w:tr>
        <w:tc>
          <w:tcPr>
            <w:tcW w:type="dxa" w:w="3900"/>
            <w:tcMar>
              <w:top w:type="dxa" w:w="80"/>
              <w:left w:type="dxa" w:w="120"/>
              <w:bottom w:type="dxa" w:w="80"/>
              <w:right w:type="dxa" w:w="120"/>
            </w:tcMar>
          </w:tcPr>
          <w:p>
            <w:pPr>
              <w:spacing w:after="0" w:line="264"/>
              <w:jc w:val="left"/>
            </w:pPr>
            <w:r>
              <w:rPr>
                <w:rFonts w:ascii="Arial" w:cs="Arial" w:eastAsia="Arial" w:hAnsi="Arial"/>
                <w:sz w:val="20"/>
                <w:szCs w:val="20"/>
              </w:rPr>
              <w:t xml:space="preserve">Apple unit share against a contracting Android market</w:t>
            </w:r>
          </w:p>
        </w:tc>
        <w:tc>
          <w:tcPr>
            <w:tcW w:type="dxa" w:w="5460"/>
            <w:tcMar>
              <w:top w:type="dxa" w:w="80"/>
              <w:left w:type="dxa" w:w="120"/>
              <w:bottom w:type="dxa" w:w="80"/>
              <w:right w:type="dxa" w:w="120"/>
            </w:tcMar>
          </w:tcPr>
          <w:p>
            <w:pPr>
              <w:spacing w:after="0" w:line="264"/>
              <w:jc w:val="left"/>
            </w:pPr>
            <w:r>
              <w:rPr>
                <w:rFonts w:ascii="Arial" w:cs="Arial" w:eastAsia="Arial" w:hAnsi="Arial"/>
                <w:sz w:val="20"/>
                <w:szCs w:val="20"/>
              </w:rPr>
              <w:t xml:space="preserve">IDC Worldwide Quarterly Mobile Phone Tracker; Counterpoint market monitor</w:t>
            </w:r>
          </w:p>
        </w:tc>
      </w:tr>
      <w:tr>
        <w:tc>
          <w:tcPr>
            <w:tcW w:type="dxa" w:w="3900"/>
            <w:tcMar>
              <w:top w:type="dxa" w:w="80"/>
              <w:left w:type="dxa" w:w="120"/>
              <w:bottom w:type="dxa" w:w="80"/>
              <w:right w:type="dxa" w:w="120"/>
            </w:tcMar>
          </w:tcPr>
          <w:p>
            <w:pPr>
              <w:spacing w:after="0" w:line="264"/>
              <w:jc w:val="left"/>
            </w:pPr>
            <w:r>
              <w:rPr>
                <w:rFonts w:ascii="Arial" w:cs="Arial" w:eastAsia="Arial" w:hAnsi="Arial"/>
                <w:sz w:val="20"/>
                <w:szCs w:val="20"/>
              </w:rPr>
              <w:t xml:space="preserve">Where artificial-intelligence spending lands: capex, intangibles, purchase obligations, R&amp;D</w:t>
            </w:r>
          </w:p>
        </w:tc>
        <w:tc>
          <w:tcPr>
            <w:tcW w:type="dxa" w:w="5460"/>
            <w:tcMar>
              <w:top w:type="dxa" w:w="80"/>
              <w:left w:type="dxa" w:w="120"/>
              <w:bottom w:type="dxa" w:w="80"/>
              <w:right w:type="dxa" w:w="120"/>
            </w:tcMar>
          </w:tcPr>
          <w:p>
            <w:pPr>
              <w:spacing w:after="0" w:line="264"/>
              <w:jc w:val="left"/>
            </w:pPr>
            <w:r>
              <w:rPr>
                <w:rFonts w:ascii="Arial" w:cs="Arial" w:eastAsia="Arial" w:hAnsi="Arial"/>
                <w:sz w:val="20"/>
                <w:szCs w:val="20"/>
              </w:rPr>
              <w:t xml:space="preserve">Apple 10-Q cash flow statement, balance sheet and commitments note</w:t>
            </w:r>
          </w:p>
        </w:tc>
      </w:tr>
    </w:tbl>
    <w:p>
      <w:r>
        <w:br w:type="page"/>
      </w:r>
    </w:p>
    <w:p>
      <w:pPr>
        <w:pStyle w:val="Heading1"/>
        <w:spacing w:after="200" w:before="360"/>
      </w:pPr>
      <w:r>
        <w:rPr>
          <w:rFonts w:ascii="Arial" w:cs="Arial" w:eastAsia="Arial" w:hAnsi="Arial"/>
          <w:b/>
          <w:bCs/>
          <w:color w:val="1F3864"/>
          <w:sz w:val="32"/>
          <w:szCs w:val="32"/>
        </w:rPr>
        <w:t xml:space="preserve">7. Risks, Unknowns and Questions for Deeper Work</w:t>
      </w:r>
    </w:p>
    <w:p>
      <w:pPr>
        <w:spacing w:after="160" w:line="276"/>
      </w:pPr>
      <w:r>
        <w:rPr>
          <w:rFonts w:ascii="Arial" w:cs="Arial" w:eastAsia="Arial" w:hAnsi="Arial"/>
          <w:sz w:val="22"/>
          <w:szCs w:val="22"/>
        </w:rPr>
        <w:t xml:space="preserve">Cyclicality and the component shock are covered in Section 6. What follows is what cyclicality does not capture, ordered by how much it compounds with the rest.</w:t>
      </w:r>
    </w:p>
    <w:p>
      <w:pPr>
        <w:pStyle w:val="ListParagraph"/>
        <w:numPr>
          <w:ilvl w:val="0"/>
          <w:numId w:val="2"/>
        </w:numPr>
        <w:spacing w:after="110" w:line="276"/>
      </w:pPr>
      <w:r>
        <w:rPr>
          <w:rFonts w:ascii="Arial" w:cs="Arial" w:eastAsia="Arial" w:hAnsi="Arial"/>
          <w:b/>
          <w:bCs/>
          <w:sz w:val="22"/>
          <w:szCs w:val="22"/>
        </w:rPr>
        <w:t xml:space="preserve">The Google search-default payment is a large, undisclosed, near-100%-margin revenue line whose legal basis is under active appeal. </w:t>
      </w:r>
      <w:r>
        <w:rPr>
          <w:rFonts w:ascii="Arial" w:cs="Arial" w:eastAsia="Arial" w:hAnsi="Arial"/>
          <w:sz w:val="22"/>
          <w:szCs w:val="22"/>
        </w:rPr>
        <w:t xml:space="preserve">The trial record in United States v. Google put Google’s 2022 payments to Apple at $20bn, and total distribution payments across all partners at $26.3bn in 2021 (DOJ brief to the DC Circuit, 28 July 2026). Judge Mehta declined to ban the payments in his 2 September 2025 remedies opinion, but limited the agreements to one-year terms and prohibited exclusivity and cross-product conditioning. The DOJ and co-plaintiff states are now cross-appealing precisely to have the payment ban reinstated. Because this revenue carries essentially no cost of delivery, it falls to Services gross profit roughly one-for-one — and Apple has never disclosed the amount, so an outside investor cannot size what is at stake. Apple’s own 10-K states that the remedies the DOJ originally proposed, if implemented, "could materially adversely affect the Company’s ability to earn revenue from such licensing arrangements."</w:t>
      </w:r>
    </w:p>
    <w:p>
      <w:pPr>
        <w:pStyle w:val="ListParagraph"/>
        <w:numPr>
          <w:ilvl w:val="0"/>
          <w:numId w:val="2"/>
        </w:numPr>
        <w:spacing w:after="110" w:line="276"/>
      </w:pPr>
      <w:r>
        <w:rPr>
          <w:rFonts w:ascii="Arial" w:cs="Arial" w:eastAsia="Arial" w:hAnsi="Arial"/>
          <w:b/>
          <w:bCs/>
          <w:sz w:val="22"/>
          <w:szCs w:val="22"/>
        </w:rPr>
        <w:t xml:space="preserve">The App Store’s commission architecture is being reset simultaneously in three jurisdictions on three different timetables, and the effect is already visible in the data. </w:t>
      </w:r>
      <w:r>
        <w:rPr>
          <w:rFonts w:ascii="Arial" w:cs="Arial" w:eastAsia="Arial" w:hAnsi="Arial"/>
          <w:sz w:val="22"/>
          <w:szCs w:val="22"/>
        </w:rPr>
        <w:t xml:space="preserve">In the United States, Apple has collected no commission on purchases made through external links since April 2025 and has asked the District Court to approve rates of 15%, 10% and 5%. In the European Union, the Core Technology Fee and Initial Acquisition Fee are eliminated on 1 October 2026 and replaced by a flat 5% Core Technology Commission. Japan’s Mobile Software Competition Act came fully into force in December 2025 and requires alternative payment systems at commissions below the standard rate. Independent trackers report that Apple’s US App Store commission revenue fell 18% in 2026 to date and that US App Store consumer spending fell 6% year on year in the June quarter — the first decline in a decade (Appfigures and Sensor Tower, reported by the Financial Times, August 2026). The compounding risk is that each jurisdiction’s remedy becomes a template for the next.</w:t>
      </w:r>
    </w:p>
    <w:p>
      <w:pPr>
        <w:pStyle w:val="ListParagraph"/>
        <w:numPr>
          <w:ilvl w:val="0"/>
          <w:numId w:val="2"/>
        </w:numPr>
        <w:spacing w:after="110" w:line="276"/>
      </w:pPr>
      <w:r>
        <w:rPr>
          <w:rFonts w:ascii="Arial" w:cs="Arial" w:eastAsia="Arial" w:hAnsi="Arial"/>
          <w:b/>
          <w:bCs/>
          <w:sz w:val="22"/>
          <w:szCs w:val="22"/>
        </w:rPr>
        <w:t xml:space="preserve">The Digital Markets Act carries a statutory penalty that is large relative to the business. </w:t>
      </w:r>
      <w:r>
        <w:rPr>
          <w:rFonts w:ascii="Arial" w:cs="Arial" w:eastAsia="Arial" w:hAnsi="Arial"/>
          <w:sz w:val="22"/>
          <w:szCs w:val="22"/>
        </w:rPr>
        <w:t xml:space="preserve">The European Commission fined Apple EUR 500m in April 2025 for breaching the anti-steering obligation, a decision Apple has appealed. The separate Article 6(4) proceeding on alternative distribution remains open, and Apple’s FY2025 10-K states the Commission "may impose fines up to 10% of the Company’s annual worldwide net sales" — approximately $41.6bn on FY2025 revenue. The General Court dismissed Apple’s challenge to its gatekeeper designation entirely on 8 July 2026. Separately, Apple announced in June 2026 that its new Siri will not ship in the EU on iPhone or iPad, with "no timeline" for availability, because of its reading of DMA interoperability requirements — a case of regulation removing a product from a market rather than changing its price.</w:t>
      </w:r>
    </w:p>
    <w:p>
      <w:pPr>
        <w:pStyle w:val="ListParagraph"/>
        <w:numPr>
          <w:ilvl w:val="0"/>
          <w:numId w:val="2"/>
        </w:numPr>
        <w:spacing w:after="110" w:line="276"/>
      </w:pPr>
      <w:r>
        <w:rPr>
          <w:rFonts w:ascii="Arial" w:cs="Arial" w:eastAsia="Arial" w:hAnsi="Arial"/>
          <w:b/>
          <w:bCs/>
          <w:sz w:val="22"/>
          <w:szCs w:val="22"/>
        </w:rPr>
        <w:t xml:space="preserve">Manufacturing geography concentrates the same counterparties that the component shock is already stressing. </w:t>
      </w:r>
      <w:r>
        <w:rPr>
          <w:rFonts w:ascii="Arial" w:cs="Arial" w:eastAsia="Arial" w:hAnsi="Arial"/>
          <w:sz w:val="22"/>
          <w:szCs w:val="22"/>
        </w:rPr>
        <w:t xml:space="preserve">Substantially all final assembly is performed by partners located primarily in Asia; many components come from single or limited sources; and the US Department of Commerce has an open Section 232 investigation into semiconductor imports and their derivative products. A trade measure and a component shortage would arrive through the same supply chain at the same time, and Apple’s FY2025 10-K declines to quantify the tariff exposure at all, stating only that "the ultimate impact remains uncertain."</w:t>
      </w:r>
    </w:p>
    <w:p>
      <w:pPr>
        <w:pStyle w:val="ListParagraph"/>
        <w:numPr>
          <w:ilvl w:val="0"/>
          <w:numId w:val="2"/>
        </w:numPr>
        <w:spacing w:after="110" w:line="276"/>
      </w:pPr>
      <w:r>
        <w:rPr>
          <w:rFonts w:ascii="Arial" w:cs="Arial" w:eastAsia="Arial" w:hAnsi="Arial"/>
          <w:b/>
          <w:bCs/>
          <w:sz w:val="22"/>
          <w:szCs w:val="22"/>
        </w:rPr>
        <w:t xml:space="preserve">Every senior executive role has turned over within twenty months, culminating in the first change of chief executive in fifteen years four days before this document. </w:t>
      </w:r>
      <w:r>
        <w:rPr>
          <w:rFonts w:ascii="Arial" w:cs="Arial" w:eastAsia="Arial" w:hAnsi="Arial"/>
          <w:sz w:val="22"/>
          <w:szCs w:val="22"/>
        </w:rPr>
        <w:t xml:space="preserve">John Ternus became CEO on 1 September 2026; Tim Cook is Executive Chair and Art Levinson moved from Chair to Lead Independent Director. The Chief Financial Officer changed in January 2025, the Chief Operating Officer in July 2025, the General Counsel in March 2026 and the Principal Accounting Officer in January 2026. The transition is planned and internal in every case, and Apple’s succession record is good. The risk is one of timing rather than of capability: a new leadership team is taking a margin decision on component costs, an artificial-intelligence platform transition and three concurrent regulatory resets, none of which it has been through before in these seats.</w:t>
      </w:r>
    </w:p>
    <w:p>
      <w:pPr>
        <w:pStyle w:val="ListParagraph"/>
        <w:numPr>
          <w:ilvl w:val="0"/>
          <w:numId w:val="2"/>
        </w:numPr>
        <w:spacing w:after="110" w:line="276"/>
      </w:pPr>
      <w:r>
        <w:rPr>
          <w:rFonts w:ascii="Arial" w:cs="Arial" w:eastAsia="Arial" w:hAnsi="Arial"/>
          <w:b/>
          <w:bCs/>
          <w:sz w:val="22"/>
          <w:szCs w:val="22"/>
        </w:rPr>
        <w:t xml:space="preserve">The artificial-intelligence position depends on a partner and has a two-year delivery record behind it. </w:t>
      </w:r>
      <w:r>
        <w:rPr>
          <w:rFonts w:ascii="Arial" w:cs="Arial" w:eastAsia="Arial" w:hAnsi="Arial"/>
          <w:sz w:val="22"/>
          <w:szCs w:val="22"/>
        </w:rPr>
        <w:t xml:space="preserve">Apple announced a personalised Siri in June 2024, delayed it publicly in March 2025 to "the coming year," and at WWDC in June 2026 was still describing it as a beta shipping "later this year." In January 2026 Apple and Google jointly stated that the next generation of Apple Foundation Models will be based on Gemini models and Google cloud technology, with no commercial terms disclosed. A securities class action over the original delay is pending in the Northern District of California and stayed pending the Supreme Court decision in the Epic matter. Counterpoint’s assessment of whether artificial intelligence is yet driving hardware upgrades is negative: the capability "has yet to give consumers a compelling reason to upgrade."</w:t>
      </w:r>
    </w:p>
    <w:p>
      <w:pPr>
        <w:pStyle w:val="Heading2"/>
        <w:spacing w:after="180" w:before="180"/>
      </w:pPr>
      <w:r>
        <w:rPr>
          <w:rFonts w:ascii="Arial" w:cs="Arial" w:eastAsia="Arial" w:hAnsi="Arial"/>
          <w:b/>
          <w:bCs/>
          <w:color w:val="1F3864"/>
          <w:sz w:val="28"/>
          <w:szCs w:val="28"/>
        </w:rPr>
        <w:t xml:space="preserve">What the sources could not answer</w:t>
      </w:r>
    </w:p>
    <w:p>
      <w:pPr>
        <w:spacing w:after="160" w:line="276"/>
      </w:pPr>
      <w:r>
        <w:rPr>
          <w:rFonts w:ascii="Arial" w:cs="Arial" w:eastAsia="Arial" w:hAnsi="Arial"/>
          <w:sz w:val="22"/>
          <w:szCs w:val="22"/>
        </w:rPr>
        <w:t xml:space="preserve">These are gaps in the evidence, not conclusions, and each would need resolving before an investor could form a view.</w:t>
      </w:r>
    </w:p>
    <w:p>
      <w:pPr>
        <w:pStyle w:val="ListParagraph"/>
        <w:numPr>
          <w:ilvl w:val="0"/>
          <w:numId w:val="2"/>
        </w:numPr>
        <w:spacing w:after="110" w:line="276"/>
      </w:pPr>
      <w:r>
        <w:rPr>
          <w:rFonts w:ascii="Arial" w:cs="Arial" w:eastAsia="Arial" w:hAnsi="Arial"/>
          <w:sz w:val="22"/>
          <w:szCs w:val="22"/>
        </w:rPr>
        <w:t xml:space="preserve">App Store revenue and gross billings. Apple has never disclosed either. Its commissioned ecosystem study reports $149bn of digital goods and services billings globally in 2025, but that is not a commission base, and no independent tracker publishes a global figure.</w:t>
      </w:r>
    </w:p>
    <w:p>
      <w:pPr>
        <w:pStyle w:val="ListParagraph"/>
        <w:numPr>
          <w:ilvl w:val="0"/>
          <w:numId w:val="2"/>
        </w:numPr>
        <w:spacing w:after="110" w:line="276"/>
      </w:pPr>
      <w:r>
        <w:rPr>
          <w:rFonts w:ascii="Arial" w:cs="Arial" w:eastAsia="Arial" w:hAnsi="Arial"/>
          <w:sz w:val="22"/>
          <w:szCs w:val="22"/>
        </w:rPr>
        <w:t xml:space="preserve">The Google licensing payment. No figure appears in any Apple filing; the only sourced amount is $20bn for 2022, from the trial record.</w:t>
      </w:r>
    </w:p>
    <w:p>
      <w:pPr>
        <w:pStyle w:val="ListParagraph"/>
        <w:numPr>
          <w:ilvl w:val="0"/>
          <w:numId w:val="2"/>
        </w:numPr>
        <w:spacing w:after="110" w:line="276"/>
      </w:pPr>
      <w:r>
        <w:rPr>
          <w:rFonts w:ascii="Arial" w:cs="Arial" w:eastAsia="Arial" w:hAnsi="Arial"/>
          <w:sz w:val="22"/>
          <w:szCs w:val="22"/>
        </w:rPr>
        <w:t xml:space="preserve">The tariff refund recognised in FY2026 and the residual tariff cost. Both are narrative only in the filings, so the sustainable Products gross margin cannot be computed.</w:t>
      </w:r>
    </w:p>
    <w:p>
      <w:pPr>
        <w:pStyle w:val="ListParagraph"/>
        <w:numPr>
          <w:ilvl w:val="0"/>
          <w:numId w:val="2"/>
        </w:numPr>
        <w:spacing w:after="110" w:line="276"/>
      </w:pPr>
      <w:r>
        <w:rPr>
          <w:rFonts w:ascii="Arial" w:cs="Arial" w:eastAsia="Arial" w:hAnsi="Arial"/>
          <w:sz w:val="22"/>
          <w:szCs w:val="22"/>
        </w:rPr>
        <w:t xml:space="preserve">The $12.1bn increase in gross intangible assets over the nine months to June 2026, for which the 10-Q offers no acquisition or business-combination note.</w:t>
      </w:r>
    </w:p>
    <w:p>
      <w:pPr>
        <w:pStyle w:val="ListParagraph"/>
        <w:numPr>
          <w:ilvl w:val="0"/>
          <w:numId w:val="2"/>
        </w:numPr>
        <w:spacing w:after="110" w:line="276"/>
      </w:pPr>
      <w:r>
        <w:rPr>
          <w:rFonts w:ascii="Arial" w:cs="Arial" w:eastAsia="Arial" w:hAnsi="Arial"/>
          <w:sz w:val="22"/>
          <w:szCs w:val="22"/>
        </w:rPr>
        <w:t xml:space="preserve">iPhone unit volumes. Apple stopped reporting them in FY2019, so price and volume cannot be separated from the filings and must be inferred from third-party trackers whose estimates differ by several million units.</w:t>
      </w:r>
    </w:p>
    <w:p>
      <w:pPr>
        <w:pStyle w:val="ListParagraph"/>
        <w:numPr>
          <w:ilvl w:val="0"/>
          <w:numId w:val="2"/>
        </w:numPr>
        <w:spacing w:after="110" w:line="276"/>
      </w:pPr>
      <w:r>
        <w:rPr>
          <w:rFonts w:ascii="Arial" w:cs="Arial" w:eastAsia="Arial" w:hAnsi="Arial"/>
          <w:sz w:val="22"/>
          <w:szCs w:val="22"/>
        </w:rPr>
        <w:t xml:space="preserve">Memory contract terms — how much of Apple’s 2027 requirement is contracted, at what prices, and for how long. This is the single most valuable disclosure that does not exist.</w:t>
      </w:r>
    </w:p>
    <w:p>
      <w:pPr>
        <w:pStyle w:val="ListParagraph"/>
        <w:numPr>
          <w:ilvl w:val="0"/>
          <w:numId w:val="2"/>
        </w:numPr>
        <w:spacing w:after="110" w:line="276"/>
      </w:pPr>
      <w:r>
        <w:rPr>
          <w:rFonts w:ascii="Arial" w:cs="Arial" w:eastAsia="Arial" w:hAnsi="Arial"/>
          <w:sz w:val="22"/>
          <w:szCs w:val="22"/>
        </w:rPr>
        <w:t xml:space="preserve">Management’s own framing. The research folder contains no earnings-call transcripts, investor-day materials or shareholder letters, and the Item 2.02 Forms 8-K in it hold only cover pages rather than the press-release exhibits. Analyst pushback and management’s candour under questioning were not assessable from this evidence base.</w:t>
      </w:r>
    </w:p>
    <w:p>
      <w:r>
        <w:br w:type="page"/>
      </w:r>
    </w:p>
    <w:p>
      <w:pPr>
        <w:pStyle w:val="Heading1"/>
        <w:spacing w:after="200" w:before="360"/>
      </w:pPr>
      <w:r>
        <w:rPr>
          <w:rFonts w:ascii="Arial" w:cs="Arial" w:eastAsia="Arial" w:hAnsi="Arial"/>
          <w:b/>
          <w:bCs/>
          <w:color w:val="1F3864"/>
          <w:sz w:val="32"/>
          <w:szCs w:val="32"/>
        </w:rPr>
        <w:t xml:space="preserve">8. Investor Takeaways</w:t>
      </w:r>
    </w:p>
    <w:p>
      <w:pPr>
        <w:pStyle w:val="ListParagraph"/>
        <w:numPr>
          <w:ilvl w:val="0"/>
          <w:numId w:val="2"/>
        </w:numPr>
        <w:spacing w:after="110" w:line="276"/>
      </w:pPr>
      <w:r>
        <w:rPr>
          <w:rFonts w:ascii="Arial" w:cs="Arial" w:eastAsia="Arial" w:hAnsi="Arial"/>
          <w:b/>
          <w:bCs/>
          <w:sz w:val="22"/>
          <w:szCs w:val="22"/>
        </w:rPr>
        <w:t xml:space="preserve">This is an annuity business wearing hardware clothes. </w:t>
      </w:r>
      <w:r>
        <w:rPr>
          <w:rFonts w:ascii="Arial" w:cs="Arial" w:eastAsia="Arial" w:hAnsi="Arial"/>
          <w:sz w:val="22"/>
          <w:szCs w:val="22"/>
        </w:rPr>
        <w:t xml:space="preserve">Apple sells 21% of the world’s smartphones and collects 49% of the industry’s revenue, then earns roughly $48 a year at a 76% margin from each of 2.5 billion active devices.</w:t>
      </w:r>
    </w:p>
    <w:p>
      <w:pPr>
        <w:pStyle w:val="ListParagraph"/>
        <w:numPr>
          <w:ilvl w:val="0"/>
          <w:numId w:val="2"/>
        </w:numPr>
        <w:spacing w:after="110" w:line="276"/>
      </w:pPr>
      <w:r>
        <w:rPr>
          <w:rFonts w:ascii="Arial" w:cs="Arial" w:eastAsia="Arial" w:hAnsi="Arial"/>
          <w:b/>
          <w:bCs/>
          <w:sz w:val="22"/>
          <w:szCs w:val="22"/>
        </w:rPr>
        <w:t xml:space="preserve">The engine is the gap between a 40-point hardware margin and a 76-point services margin. </w:t>
      </w:r>
      <w:r>
        <w:rPr>
          <w:rFonts w:ascii="Arial" w:cs="Arial" w:eastAsia="Arial" w:hAnsi="Arial"/>
          <w:sz w:val="22"/>
          <w:szCs w:val="22"/>
        </w:rPr>
        <w:t xml:space="preserve">Services is a quarter of revenue and 40% of gross profit, and that ratio is why the company’s gross margin has risen for seven straight years.</w:t>
      </w:r>
    </w:p>
    <w:p>
      <w:pPr>
        <w:pStyle w:val="ListParagraph"/>
        <w:numPr>
          <w:ilvl w:val="0"/>
          <w:numId w:val="2"/>
        </w:numPr>
        <w:spacing w:after="110" w:line="276"/>
      </w:pPr>
      <w:r>
        <w:rPr>
          <w:rFonts w:ascii="Arial" w:cs="Arial" w:eastAsia="Arial" w:hAnsi="Arial"/>
          <w:b/>
          <w:bCs/>
          <w:sz w:val="22"/>
          <w:szCs w:val="22"/>
        </w:rPr>
        <w:t xml:space="preserve">The main growth lever is price and mix on the iPhone, not volume. </w:t>
      </w:r>
      <w:r>
        <w:rPr>
          <w:rFonts w:ascii="Arial" w:cs="Arial" w:eastAsia="Arial" w:hAnsi="Arial"/>
          <w:sz w:val="22"/>
          <w:szCs w:val="22"/>
        </w:rPr>
        <w:t xml:space="preserve">Average selling price reached $946 while unit shipments are forecast to fall slightly; iPhone and Services together produced 93% of all revenue growth in the nine months to June 2026.</w:t>
      </w:r>
    </w:p>
    <w:p>
      <w:pPr>
        <w:pStyle w:val="ListParagraph"/>
        <w:numPr>
          <w:ilvl w:val="0"/>
          <w:numId w:val="2"/>
        </w:numPr>
        <w:spacing w:after="110" w:line="276"/>
      </w:pPr>
      <w:r>
        <w:rPr>
          <w:rFonts w:ascii="Arial" w:cs="Arial" w:eastAsia="Arial" w:hAnsi="Arial"/>
          <w:b/>
          <w:bCs/>
          <w:sz w:val="22"/>
          <w:szCs w:val="22"/>
        </w:rPr>
        <w:t xml:space="preserve">What could break the story is a cost shock Apple has already described and a distribution layer being reset by courts. </w:t>
      </w:r>
      <w:r>
        <w:rPr>
          <w:rFonts w:ascii="Arial" w:cs="Arial" w:eastAsia="Arial" w:hAnsi="Arial"/>
          <w:sz w:val="22"/>
          <w:szCs w:val="22"/>
        </w:rPr>
        <w:t xml:space="preserve">Memory prices are up more than 300% year on year, Apple’s own filing expects the trend "to intensify," and the two highest-margin services revenue lines — the App Store commission and the Google search payment — are both under active litigation.</w:t>
      </w:r>
    </w:p>
    <w:p>
      <w:pPr>
        <w:pStyle w:val="ListParagraph"/>
        <w:numPr>
          <w:ilvl w:val="0"/>
          <w:numId w:val="2"/>
        </w:numPr>
        <w:spacing w:after="110" w:line="276"/>
      </w:pPr>
      <w:r>
        <w:rPr>
          <w:rFonts w:ascii="Arial" w:cs="Arial" w:eastAsia="Arial" w:hAnsi="Arial"/>
          <w:b/>
          <w:bCs/>
          <w:sz w:val="22"/>
          <w:szCs w:val="22"/>
        </w:rPr>
        <w:t xml:space="preserve">Watch Products gross margin, and specifically what disappears from the sentence explaining it. </w:t>
      </w:r>
      <w:r>
        <w:rPr>
          <w:rFonts w:ascii="Arial" w:cs="Arial" w:eastAsia="Arial" w:hAnsi="Arial"/>
          <w:sz w:val="22"/>
          <w:szCs w:val="22"/>
        </w:rPr>
        <w:t xml:space="preserve">When "tariff refunds" leaves the driver list in the MD&amp;A and memory remains, the borrowed part of the current margin will have ended and the durable part will be visible.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60" w:line="276"/>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2026-09-05T16:36:45.909Z</dcterms:created>
  <dcterms:modified xsi:type="dcterms:W3CDTF">2026-09-05T16:36:45.909Z</dcterms:modified>
</cp:coreProperties>
</file>

<file path=docProps/custom.xml><?xml version="1.0" encoding="utf-8"?>
<Properties xmlns="http://schemas.openxmlformats.org/officeDocument/2006/custom-properties" xmlns:vt="http://schemas.openxmlformats.org/officeDocument/2006/docPropsVTypes"/>
</file>