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rPr>
        <w:t xml:space="preserve"/>
      </w:r>
    </w:p>
    <w:p>
      <w:pPr>
        <w:spacing w:after="200"/>
        <w:jc w:val="left"/>
      </w:pPr>
      <w:r>
        <w:rPr>
          <w:rFonts w:ascii="Arial" w:cs="Arial" w:eastAsia="Arial" w:hAnsi="Arial"/>
          <w:b/>
          <w:bCs/>
          <w:color w:val="1F3864"/>
          <w:sz w:val="56"/>
          <w:szCs w:val="56"/>
        </w:rPr>
        <w:t xml:space="preserve">Business Overview</w:t>
      </w:r>
    </w:p>
    <w:p>
      <w:pPr>
        <w:spacing w:after="400"/>
        <w:jc w:val="left"/>
      </w:pPr>
      <w:r>
        <w:rPr>
          <w:rFonts w:ascii="Arial" w:cs="Arial" w:eastAsia="Arial" w:hAnsi="Arial"/>
          <w:b/>
          <w:bCs/>
          <w:color w:val="2B2B2B"/>
          <w:sz w:val="40"/>
          <w:szCs w:val="40"/>
        </w:rPr>
        <w:t xml:space="preserve">Astera Labs, Inc.  (Nasdaq: ALAB)</w:t>
      </w:r>
    </w:p>
    <w:p>
      <w:pPr>
        <w:pBdr>
          <w:top w:val="single" w:color="1F3864" w:sz="12" w:space="8"/>
        </w:pBdr>
        <w:spacing w:after="600"/>
      </w:pPr>
      <w:r>
        <w:rPr>
          <w:rFonts w:ascii="Arial" w:cs="Arial" w:eastAsia="Arial" w:hAnsi="Arial"/>
        </w:rPr>
        <w:t xml:space="preserve"/>
      </w:r>
    </w:p>
    <w:p>
      <w:pPr>
        <w:spacing w:after="300" w:line="276"/>
        <w:jc w:val="left"/>
      </w:pPr>
      <w:r>
        <w:rPr>
          <w:rFonts w:ascii="Arial" w:cs="Arial" w:eastAsia="Arial" w:hAnsi="Arial"/>
          <w:b/>
          <w:bCs/>
          <w:sz w:val="24"/>
          <w:szCs w:val="24"/>
        </w:rPr>
        <w:t xml:space="preserve">6 September 2026</w:t>
      </w:r>
    </w:p>
    <w:p>
      <w:pPr>
        <w:spacing w:after="200" w:line="276"/>
        <w:jc w:val="left"/>
      </w:pPr>
      <w:r>
        <w:rPr>
          <w:rFonts w:ascii="Arial" w:cs="Arial" w:eastAsia="Arial" w:hAnsi="Arial"/>
          <w:sz w:val="20"/>
          <w:szCs w:val="20"/>
        </w:rPr>
        <w:t xml:space="preserve">Evidence base: Astera Labs SEC filings — FY2025 Form 10-K (filed 20 February 2026), FY2024 Form 10-K, Forms 10-Q through the quarter ended 30 June 2026, the 2026 DEF 14A proxy, and material-event Forms 8-K. Industry structure, competitor economics and standards-roadmap evidence come from independent primary sources: PCI-SIG, the UALink and Ultra Ethernet Consortia, and the SEC filings and earnings releases of Broadcom, Marvell, Credo, Rambus and Parade. Forward guidance is taken from the Q2 2026 earnings release exhibit filed with the SEC on 4 August 2026.</w:t>
      </w:r>
    </w:p>
    <w:p>
      <w:pPr>
        <w:spacing w:after="200" w:line="276"/>
        <w:jc w:val="left"/>
      </w:pPr>
      <w:r>
        <w:rPr>
          <w:rFonts w:ascii="Arial" w:cs="Arial" w:eastAsia="Arial" w:hAnsi="Arial"/>
          <w:i/>
          <w:iCs/>
          <w:sz w:val="20"/>
          <w:szCs w:val="20"/>
        </w:rPr>
        <w:t xml:space="preserve">This document explains how the business works and what drives its economics. It is not a valuation and not a recommendation. No price, multiple or target appears anywhere in it.</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800"/>
      </w:tblGrid>
      <w:tr>
        <w:trPr>
          <w:tblHeader/>
        </w:trPr>
        <w:tc>
          <w:tcPr>
            <w:tcW w:type="dxa" w:w="26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Item</w:t>
            </w:r>
          </w:p>
        </w:tc>
        <w:tc>
          <w:tcPr>
            <w:tcW w:type="dxa" w:w="68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Summary</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A fabless semiconductor company selling the connectivity silicon that moves data between processors, accelerators, memory and networks inside AI server racks.</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AI data-centre interconnect semiconductors — PCIe/CXL retimers and fabric switches, Ethernet cable modules, CXL memory controllers.</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Sells physical parts — integrated circuits, boards and cable modules — against purchase orders, recognised on shipment. Product sales were 100% of FY2025 revenue; engineering-services revenue fell to zero (FY2025 10-K).</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Unit of economics</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One connectivity device shipped into one AI accelerator socket or rack link. Unit counts and average selling prices are not disclosed, so content per accelerator cannot be computed from filings (NOT FOUND).</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it earns per unit</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73.3% gross margin in Q2 2026, 75.7% for FY2025 — roughly 73–76 cents of gross profit per dollar of price. Guided to about 72% for Q3 2026 (Q2 2026 release, 4 Aug 2026).</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Qualified silicon at the current generation, a design-win-to-volume lag of up to two years, embedded fleet-management software, and simultaneous membership of every competing scale-up standards body.</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(1) AI accelerator unit growth at three end customers; (2) rising content per rack as PCIe generations advance; (3) mix shift into higher-price, lower-margin modules and Scorpio switches.</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(1) Gross margin as module and switch mix rises; (2) the escalating customer-warrant charge against revenue; (3) whether customer concentration keeps broadening beyond three end customers.</w:t>
            </w:r>
          </w:p>
        </w:tc>
      </w:tr>
      <w:tr>
        <w:tc>
          <w:tcPr>
            <w:tcW w:type="dxa" w:w="26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800"/>
            <w:tcMar>
              <w:top w:type="dxa" w:w="80"/>
              <w:left w:type="dxa" w:w="120"/>
              <w:bottom w:type="dxa" w:w="80"/>
              <w:right w:type="dxa" w:w="120"/>
            </w:tcMar>
          </w:tcPr>
          <w:p>
            <w:pPr>
              <w:spacing w:after="0" w:line="260"/>
              <w:jc w:val="left"/>
            </w:pPr>
            <w:r>
              <w:rPr>
                <w:rFonts w:ascii="Arial" w:cs="Arial" w:eastAsia="Arial" w:hAnsi="Arial"/>
                <w:sz w:val="20"/>
                <w:szCs w:val="20"/>
              </w:rPr>
              <w:t xml:space="preserve">High. Demand is a direct derivative of hyperscaler capital spending, with no backlog, no contracted minimums and no recurring revenue to cushion a pause.</w:t>
            </w:r>
          </w:p>
        </w:tc>
      </w:tr>
    </w:tbl>
    <w:p>
      <w:pPr>
        <w:spacing w:after="120" w:line="276"/>
        <w:jc w:val="left"/>
      </w:pPr>
      <w:r>
        <w:rPr>
          <w:rFonts w:ascii="Arial" w:cs="Arial" w:eastAsia="Arial" w:hAnsi="Arial"/>
          <w:sz w:val="22"/>
          <w:szCs w:val="22"/>
        </w:rPr>
        <w:t xml:space="preserve"/>
      </w:r>
    </w:p>
    <w:p>
      <w:pPr>
        <w:spacing w:after="140" w:line="276"/>
        <w:jc w:val="left"/>
      </w:pPr>
      <w:r>
        <w:rPr>
          <w:rFonts w:ascii="Arial" w:cs="Arial" w:eastAsia="Arial" w:hAnsi="Arial"/>
          <w:i/>
          <w:iCs/>
          <w:sz w:val="18"/>
          <w:szCs w:val="18"/>
        </w:rPr>
        <w:t xml:space="preserve">The rows above orient the reader. Each is established with its evidence in the sections that follow.</w:t>
      </w:r>
    </w:p>
    <w:p>
      <w:r>
        <w:br w:type="page"/>
      </w:r>
    </w:p>
    <w:p>
      <w:pPr>
        <w:pStyle w:val="Heading1"/>
        <w:spacing w:after="200" w:before="360"/>
      </w:pPr>
      <w:r>
        <w:rPr>
          <w:rFonts w:ascii="Arial" w:cs="Arial" w:eastAsia="Arial" w:hAnsi="Arial"/>
          <w:b/>
          <w:bCs/>
          <w:color w:val="1F3864"/>
          <w:sz w:val="32"/>
          <w:szCs w:val="32"/>
        </w:rPr>
        <w:t xml:space="preserve">2.  What the Company Does</w:t>
      </w:r>
    </w:p>
    <w:p>
      <w:pPr>
        <w:pStyle w:val="Heading2"/>
        <w:spacing w:after="180" w:before="180"/>
      </w:pPr>
      <w:r>
        <w:rPr>
          <w:rFonts w:ascii="Arial" w:cs="Arial" w:eastAsia="Arial" w:hAnsi="Arial"/>
          <w:b/>
          <w:bCs/>
          <w:color w:val="1F3864"/>
          <w:sz w:val="28"/>
          <w:szCs w:val="28"/>
        </w:rPr>
        <w:t xml:space="preserve">The problem it is paid to solve</w:t>
      </w:r>
    </w:p>
    <w:p>
      <w:pPr>
        <w:spacing w:after="140" w:line="276"/>
        <w:jc w:val="left"/>
      </w:pPr>
      <w:r>
        <w:rPr>
          <w:rFonts w:ascii="Arial" w:cs="Arial" w:eastAsia="Arial" w:hAnsi="Arial"/>
          <w:sz w:val="22"/>
          <w:szCs w:val="22"/>
        </w:rPr>
        <w:t xml:space="preserve">Inside a computer, data moves between chips along copper traces. The faster the data moves, the shorter the distance copper can carry it before the signal degrades beyond recovery. This is a physics constraint, and it tightens with every generation. PCI-SIG doubles the PCIe interface speed roughly every three years — 32 GT/s at Gen5, 64 GT/s at Gen6, and 128 GT/s at Gen7, whose specification was released on 11 June 2025 (PCI-SIG, 11 June 2025). The loss budget does not widen to compensate. Gen6 allows roughly 32 dB of channel loss against Gen5’s 36 dB, because Gen6 packs two bits into each symbol using PAM4 signalling at the same underlying frequency, which costs about 9 dB of signal-to-noise margin outright.</w:t>
      </w:r>
    </w:p>
    <w:p>
      <w:pPr>
        <w:spacing w:after="140" w:line="276"/>
        <w:jc w:val="left"/>
      </w:pPr>
      <w:r>
        <w:rPr>
          <w:rFonts w:ascii="Arial" w:cs="Arial" w:eastAsia="Arial" w:hAnsi="Arial"/>
          <w:sz w:val="22"/>
          <w:szCs w:val="22"/>
        </w:rPr>
        <w:t xml:space="preserve">The practical consequence is that a signal which comfortably crossed a server motherboard at Gen4 cannot reliably cross the same board at Gen6. A typical motherboard-plus-add-in-card path runs about eighteen inches, and at current speeds that path needs active silicon in the middle of it to receive the degraded signal, reconstruct it digitally, and retransmit a clean copy. That piece of silicon is a retimer, and it is the core of what Astera Labs sells.</w:t>
      </w:r>
    </w:p>
    <w:p>
      <w:pPr>
        <w:pStyle w:val="Heading2"/>
        <w:spacing w:after="180" w:before="180"/>
      </w:pPr>
      <w:r>
        <w:rPr>
          <w:rFonts w:ascii="Arial" w:cs="Arial" w:eastAsia="Arial" w:hAnsi="Arial"/>
          <w:b/>
          <w:bCs/>
          <w:color w:val="1F3864"/>
          <w:sz w:val="28"/>
          <w:szCs w:val="28"/>
        </w:rPr>
        <w:t xml:space="preserve">The unit, and what it earns</w:t>
      </w:r>
    </w:p>
    <w:p>
      <w:pPr>
        <w:spacing w:after="140" w:line="276"/>
        <w:jc w:val="left"/>
      </w:pPr>
      <w:r>
        <w:rPr>
          <w:rFonts w:ascii="Arial" w:cs="Arial" w:eastAsia="Arial" w:hAnsi="Arial"/>
          <w:sz w:val="22"/>
          <w:szCs w:val="22"/>
        </w:rPr>
        <w:t xml:space="preserve">Astera is a fabless semiconductor company. The unit is a physical part shipped against a purchase order: an integrated circuit, or a board or cable module built around one. The FY2025 10-K states the company offers its products "in various form factors including Integrated Circuits, boards, and modules." There is no subscription, no licence and no royalty. Engineering-services revenue, which was $3.9 million in FY2023 and $3.2 million in FY2024, fell to exactly zero in FY2025 (FY2025 10-K). The revenue line is now entirely hardware.</w:t>
      </w:r>
    </w:p>
    <w:p>
      <w:pPr>
        <w:spacing w:after="140" w:line="276"/>
        <w:jc w:val="left"/>
      </w:pPr>
      <w:r>
        <w:rPr>
          <w:rFonts w:ascii="Arial" w:cs="Arial" w:eastAsia="Arial" w:hAnsi="Arial"/>
          <w:sz w:val="22"/>
          <w:szCs w:val="22"/>
        </w:rPr>
        <w:t xml:space="preserve">Trace one unit. TSMC fabricates every integrated circuit the company sells — a single foundry, with no second source disclosed. Advanced Semiconductor Engineering and Amkor assemble, package and test. A small number of further partners build the modules, boards and substrates. The finished part is sold to the customer of record, which is usually not the company that will use it: the 10-K defines customers as "parties we directly invoice," and identifies these as "the Company’s end customers’ manufacturing partners and the Company’s distributors." Revenue is recognised when control transfers, "generally at the time of product shipment," net of estimated returns and distributor price adjustments (FY2025 10-K). Cash follows on ordinary trade terms; days sales outstanding ran 35.6 days at the end of FY2025 and 44.6 days at the end of Q2 2026 (calculated from balance-sheet and income-statement figures).</w:t>
      </w:r>
    </w:p>
    <w:p>
      <w:pPr>
        <w:spacing w:after="140" w:line="276"/>
        <w:jc w:val="left"/>
      </w:pPr>
      <w:r>
        <w:rPr>
          <w:rFonts w:ascii="Arial" w:cs="Arial" w:eastAsia="Arial" w:hAnsi="Arial"/>
          <w:sz w:val="22"/>
          <w:szCs w:val="22"/>
        </w:rPr>
        <w:t xml:space="preserve">What one unit sells for is not disclosed. Neither is how many units ship. The MD&amp;A attributes growth to "an increase in overall unit shipments... as well as higher overall average selling prices," but gives no figure for either. This is the single largest analytical gap in the filings, and it means that dollar content per accelerator — the number an investor most wants — cannot be derived from primary sources.</w:t>
      </w:r>
    </w:p>
    <w:p>
      <w:pPr>
        <w:pStyle w:val="Heading2"/>
        <w:spacing w:after="180" w:before="180"/>
      </w:pPr>
      <w:r>
        <w:rPr>
          <w:rFonts w:ascii="Arial" w:cs="Arial" w:eastAsia="Arial" w:hAnsi="Arial"/>
          <w:b/>
          <w:bCs/>
          <w:color w:val="1F3864"/>
          <w:sz w:val="28"/>
          <w:szCs w:val="28"/>
        </w:rPr>
        <w:t xml:space="preserve">Four product families, one platform</w:t>
      </w:r>
    </w:p>
    <w:p>
      <w:pPr>
        <w:spacing w:after="140" w:line="276"/>
        <w:jc w:val="left"/>
      </w:pPr>
      <w:r>
        <w:rPr>
          <w:rFonts w:ascii="Arial" w:cs="Arial" w:eastAsia="Arial" w:hAnsi="Arial"/>
          <w:sz w:val="22"/>
          <w:szCs w:val="22"/>
        </w:rPr>
        <w:t xml:space="preserve">The company sells four named product lines, and reports as a single operating segment with no revenue split between them (FY2025 10-K, Segment Reporting).</w:t>
      </w:r>
    </w:p>
    <w:p>
      <w:pPr>
        <w:pStyle w:val="ListParagraph"/>
        <w:numPr>
          <w:ilvl w:val="0"/>
          <w:numId w:val="2"/>
        </w:numPr>
        <w:spacing w:after="100" w:line="276"/>
      </w:pPr>
      <w:r>
        <w:rPr>
          <w:rFonts w:ascii="Arial" w:cs="Arial" w:eastAsia="Arial" w:hAnsi="Arial"/>
          <w:b/>
          <w:bCs/>
          <w:sz w:val="22"/>
          <w:szCs w:val="22"/>
        </w:rPr>
        <w:t xml:space="preserve">Aries</w:t>
      </w:r>
      <w:r>
        <w:rPr>
          <w:rFonts w:ascii="Arial" w:cs="Arial" w:eastAsia="Arial" w:hAnsi="Arial"/>
          <w:sz w:val="22"/>
          <w:szCs w:val="22"/>
        </w:rPr>
        <w:t xml:space="preserve"> — PCIe and CXL smart DSP retimers and smart cable modules. The original product and, per the CEO, the source of record quarterly revenue in Q2 2026. This is the part that sits in the middle of a degraded link and regenerates it.</w:t>
      </w:r>
    </w:p>
    <w:p>
      <w:pPr>
        <w:pStyle w:val="ListParagraph"/>
        <w:numPr>
          <w:ilvl w:val="0"/>
          <w:numId w:val="2"/>
        </w:numPr>
        <w:spacing w:after="100" w:line="276"/>
      </w:pPr>
      <w:r>
        <w:rPr>
          <w:rFonts w:ascii="Arial" w:cs="Arial" w:eastAsia="Arial" w:hAnsi="Arial"/>
          <w:b/>
          <w:bCs/>
          <w:sz w:val="22"/>
          <w:szCs w:val="22"/>
        </w:rPr>
        <w:t xml:space="preserve">Taurus</w:t>
      </w:r>
      <w:r>
        <w:rPr>
          <w:rFonts w:ascii="Arial" w:cs="Arial" w:eastAsia="Arial" w:hAnsi="Arial"/>
          <w:sz w:val="22"/>
          <w:szCs w:val="22"/>
        </w:rPr>
        <w:t xml:space="preserve"> — Ethernet smart cable modules. Extends copper Ethernet reach between servers and switches, the same physics problem applied to the network rather than the internal bus.</w:t>
      </w:r>
    </w:p>
    <w:p>
      <w:pPr>
        <w:pStyle w:val="ListParagraph"/>
        <w:numPr>
          <w:ilvl w:val="0"/>
          <w:numId w:val="2"/>
        </w:numPr>
        <w:spacing w:after="100" w:line="276"/>
      </w:pPr>
      <w:r>
        <w:rPr>
          <w:rFonts w:ascii="Arial" w:cs="Arial" w:eastAsia="Arial" w:hAnsi="Arial"/>
          <w:b/>
          <w:bCs/>
          <w:sz w:val="22"/>
          <w:szCs w:val="22"/>
        </w:rPr>
        <w:t xml:space="preserve">Leo</w:t>
      </w:r>
      <w:r>
        <w:rPr>
          <w:rFonts w:ascii="Arial" w:cs="Arial" w:eastAsia="Arial" w:hAnsi="Arial"/>
          <w:sz w:val="22"/>
          <w:szCs w:val="22"/>
        </w:rPr>
        <w:t xml:space="preserve"> — CXL memory connectivity controllers, for expanding, sharing and pooling standard DRAM over serial links. Notably, Leo is the one family absent from the MD&amp;A’s list of demand drivers in both the FY2025 10-K and the Q2 2026 10-Q, which name only Aries, Scorpio and Taurus. The filings do not say Leo is shrinking; they simply never cite it as a reason revenue grew (inferred: it is the smallest and slowest of the four).</w:t>
      </w:r>
    </w:p>
    <w:p>
      <w:pPr>
        <w:pStyle w:val="ListParagraph"/>
        <w:numPr>
          <w:ilvl w:val="0"/>
          <w:numId w:val="2"/>
        </w:numPr>
        <w:spacing w:after="100" w:line="276"/>
      </w:pPr>
      <w:r>
        <w:rPr>
          <w:rFonts w:ascii="Arial" w:cs="Arial" w:eastAsia="Arial" w:hAnsi="Arial"/>
          <w:b/>
          <w:bCs/>
          <w:sz w:val="22"/>
          <w:szCs w:val="22"/>
        </w:rPr>
        <w:t xml:space="preserve">Scorpio</w:t>
      </w:r>
      <w:r>
        <w:rPr>
          <w:rFonts w:ascii="Arial" w:cs="Arial" w:eastAsia="Arial" w:hAnsi="Arial"/>
          <w:sz w:val="22"/>
          <w:szCs w:val="22"/>
        </w:rPr>
        <w:t xml:space="preserve"> — smart fabric switches, in a P-Series for PCIe Gen 6.0 head-node traffic and an X-Series for GPU-to-GPU clustering. This is the newest and strategically the most consequential line: management stated on 4 August 2026 that Scorpio would become the largest product family in Q3 2026, "one quarter ahead of our prior expectations."</w:t>
      </w:r>
    </w:p>
    <w:p>
      <w:pPr>
        <w:spacing w:after="140" w:line="276"/>
        <w:jc w:val="left"/>
      </w:pPr>
      <w:r>
        <w:rPr>
          <w:rFonts w:ascii="Arial" w:cs="Arial" w:eastAsia="Arial" w:hAnsi="Arial"/>
          <w:sz w:val="22"/>
          <w:szCs w:val="22"/>
        </w:rPr>
        <w:t xml:space="preserve">Binding the four together is COSMOS, an embedded software suite providing link management, fleet management and reliability/serviceability telemetry. COSMOS runs on the customer’s own operating system and talks to software components resident on the chips. It is not separately priced — no standalone COSMOS licence revenue appears anywhere in the filings. Its economic function is not to earn revenue directly but to make the hardware harder to displace, because a hyperscaler that has built fleet diagnostics around Astera’s telemetry has wired that dependency into its operations rather than merely into its bill of materials.</w:t>
      </w:r>
    </w:p>
    <w:p>
      <w:pPr>
        <w:spacing w:after="140" w:line="276"/>
        <w:jc w:val="left"/>
      </w:pPr>
      <w:r>
        <w:rPr>
          <w:rFonts w:ascii="Arial" w:cs="Arial" w:eastAsia="Arial" w:hAnsi="Arial"/>
          <w:sz w:val="22"/>
          <w:szCs w:val="22"/>
        </w:rPr>
        <w:t xml:space="preserve">The mix between these lines is the central margin story, and Section 5 takes it up: modules and Scorpio carry higher selling prices than bare integrated circuits, and lower gross margins.</w:t>
      </w:r>
    </w:p>
    <w:p>
      <w:pPr>
        <w:pStyle w:val="Heading2"/>
        <w:spacing w:after="180" w:before="180"/>
      </w:pPr>
      <w:r>
        <w:rPr>
          <w:rFonts w:ascii="Arial" w:cs="Arial" w:eastAsia="Arial" w:hAnsi="Arial"/>
          <w:b/>
          <w:bCs/>
          <w:color w:val="1F3864"/>
          <w:sz w:val="28"/>
          <w:szCs w:val="28"/>
        </w:rPr>
        <w:t xml:space="preserve">Who actually pays</w:t>
      </w:r>
    </w:p>
    <w:p>
      <w:pPr>
        <w:spacing w:after="140" w:line="276"/>
        <w:jc w:val="left"/>
      </w:pPr>
      <w:r>
        <w:rPr>
          <w:rFonts w:ascii="Arial" w:cs="Arial" w:eastAsia="Arial" w:hAnsi="Arial"/>
          <w:sz w:val="22"/>
          <w:szCs w:val="22"/>
        </w:rPr>
        <w:t xml:space="preserve">Three end customers accounted for approximately 86% of FY2025 revenue (FY2025 10-K). That is the figure that matters, and it is disclosed in a different part of the filing from the concentration table, which shows something less alarming: five separate customers above 10% in FY2025 (20%, 20%, 17%, 16% and 11%), against three in FY2024 and three in FY2023. The two figures are reconciled by the Q2 2026 10-Q, which explains that "certain of the customers listed above are manufacturing partners that purchase the Company’s products on behalf of the Company’s end customers," and that as end customers shift volumes between manufacturing partners, "the revenue concentration percentages attributable to individual direct customers may fluctuate in a manner that is not necessarily representative of changes in underlying end-customer demand."</w:t>
      </w:r>
    </w:p>
    <w:p>
      <w:pPr>
        <w:spacing w:after="140" w:line="276"/>
        <w:jc w:val="left"/>
      </w:pPr>
      <w:r>
        <w:rPr>
          <w:rFonts w:ascii="Arial" w:cs="Arial" w:eastAsia="Arial" w:hAnsi="Arial"/>
          <w:sz w:val="22"/>
          <w:szCs w:val="22"/>
        </w:rPr>
        <w:t xml:space="preserve">The apparent broadening of the customer base from three names to five is therefore partly an artefact of contract-manufacturing logistics. End-customer concentration is the higher number, and it is extreme. Only one end customer is ever named in any filing: Amazon, identified in the warrant note and in the 8-K of 10 February 2026. Every other end customer is referred to only as a hyperscaler or system OEM. NVIDIA and AMD are not mentioned by name anywhere in the 10-Ks or 10-Qs reviewed.</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pStyle w:val="Heading2"/>
        <w:spacing w:after="180" w:before="180"/>
      </w:pPr>
      <w:r>
        <w:rPr>
          <w:rFonts w:ascii="Arial" w:cs="Arial" w:eastAsia="Arial" w:hAnsi="Arial"/>
          <w:b/>
          <w:bCs/>
          <w:color w:val="1F3864"/>
          <w:sz w:val="28"/>
          <w:szCs w:val="28"/>
        </w:rPr>
        <w:t xml:space="preserve">Where the profit sits in the chain</w:t>
      </w:r>
    </w:p>
    <w:p>
      <w:pPr>
        <w:spacing w:after="140" w:line="276"/>
        <w:jc w:val="left"/>
      </w:pPr>
      <w:r>
        <w:rPr>
          <w:rFonts w:ascii="Arial" w:cs="Arial" w:eastAsia="Arial" w:hAnsi="Arial"/>
          <w:sz w:val="22"/>
          <w:szCs w:val="22"/>
        </w:rPr>
        <w:t xml:space="preserve">The value chain runs from SerDes design IP (Synopsys, Cadence, Alphawave), through fabless connectivity silicon (Astera, Broadcom, Marvell, Credo, Montage, Parade, Rambus), through foundry and packaging (TSMC, ASE, Amkor), through module and cable assembly, through the ODMs that build the servers (Quanta, Wistron, Foxconn, Celestica), to the hyperscaler that operates them. Profit concentrates sharply at the two ends nearest the intellectual property and thins toward assembly. Reported gross margins across the silicon layer, at the most recent period each company has published, make the pattern visible.</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1700"/>
        <w:gridCol w:w="1700"/>
        <w:gridCol w:w="3600"/>
      </w:tblGrid>
      <w:tr>
        <w:trPr>
          <w:tblHeader/>
        </w:trPr>
        <w:tc>
          <w:tcPr>
            <w:tcW w:type="dxa" w:w="24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Company</w:t>
            </w:r>
          </w:p>
        </w:tc>
        <w:tc>
          <w:tcPr>
            <w:tcW w:type="dxa" w:w="17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GAAP GM</w:t>
            </w:r>
          </w:p>
        </w:tc>
        <w:tc>
          <w:tcPr>
            <w:tcW w:type="dxa" w:w="17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Non-GAAP GM</w:t>
            </w:r>
          </w:p>
        </w:tc>
        <w:tc>
          <w:tcPr>
            <w:tcW w:type="dxa" w:w="36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Business mix</w:t>
            </w:r>
          </w:p>
        </w:tc>
      </w:tr>
      <w:tr>
        <w:tc>
          <w:tcPr>
            <w:tcW w:type="dxa" w:w="2400"/>
            <w:tcMar>
              <w:top w:type="dxa" w:w="80"/>
              <w:left w:type="dxa" w:w="120"/>
              <w:bottom w:type="dxa" w:w="80"/>
              <w:right w:type="dxa" w:w="120"/>
            </w:tcMar>
          </w:tcPr>
          <w:p>
            <w:pPr>
              <w:spacing w:after="0" w:line="260"/>
              <w:jc w:val="left"/>
            </w:pPr>
            <w:r>
              <w:rPr>
                <w:rFonts w:ascii="Arial" w:cs="Arial" w:eastAsia="Arial" w:hAnsi="Arial"/>
                <w:sz w:val="20"/>
                <w:szCs w:val="20"/>
              </w:rPr>
              <w:t xml:space="preserve">Rambus</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80%</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81%</w:t>
            </w:r>
          </w:p>
        </w:tc>
        <w:tc>
          <w:tcPr>
            <w:tcW w:type="dxa" w:w="3600"/>
            <w:tcMar>
              <w:top w:type="dxa" w:w="80"/>
              <w:left w:type="dxa" w:w="120"/>
              <w:bottom w:type="dxa" w:w="80"/>
              <w:right w:type="dxa" w:w="120"/>
            </w:tcMar>
          </w:tcPr>
          <w:p>
            <w:pPr>
              <w:spacing w:after="0" w:line="260"/>
              <w:jc w:val="left"/>
            </w:pPr>
            <w:r>
              <w:rPr>
                <w:rFonts w:ascii="Arial" w:cs="Arial" w:eastAsia="Arial" w:hAnsi="Arial"/>
                <w:sz w:val="20"/>
                <w:szCs w:val="20"/>
              </w:rPr>
              <w:t xml:space="preserve">IP and royalty-weighted</w:t>
            </w:r>
          </w:p>
        </w:tc>
      </w:tr>
      <w:tr>
        <w:tc>
          <w:tcPr>
            <w:tcW w:type="dxa" w:w="2400"/>
            <w:tcMar>
              <w:top w:type="dxa" w:w="80"/>
              <w:left w:type="dxa" w:w="120"/>
              <w:bottom w:type="dxa" w:w="80"/>
              <w:right w:type="dxa" w:w="120"/>
            </w:tcMar>
          </w:tcPr>
          <w:p>
            <w:pPr>
              <w:spacing w:after="0" w:line="260"/>
              <w:jc w:val="left"/>
            </w:pPr>
            <w:r>
              <w:rPr>
                <w:rFonts w:ascii="Arial" w:cs="Arial" w:eastAsia="Arial" w:hAnsi="Arial"/>
                <w:b/>
                <w:bCs/>
                <w:sz w:val="20"/>
                <w:szCs w:val="20"/>
              </w:rPr>
              <w:t xml:space="preserve">Astera Labs</w:t>
            </w:r>
          </w:p>
        </w:tc>
        <w:tc>
          <w:tcPr>
            <w:tcW w:type="dxa" w:w="1700"/>
            <w:tcMar>
              <w:top w:type="dxa" w:w="80"/>
              <w:left w:type="dxa" w:w="120"/>
              <w:bottom w:type="dxa" w:w="80"/>
              <w:right w:type="dxa" w:w="120"/>
            </w:tcMar>
          </w:tcPr>
          <w:p>
            <w:pPr>
              <w:spacing w:after="0" w:line="260"/>
              <w:jc w:val="right"/>
            </w:pPr>
            <w:r>
              <w:rPr>
                <w:rFonts w:ascii="Arial" w:cs="Arial" w:eastAsia="Arial" w:hAnsi="Arial"/>
                <w:b/>
                <w:bCs/>
                <w:sz w:val="20"/>
                <w:szCs w:val="20"/>
              </w:rPr>
              <w:t xml:space="preserve">73.3%</w:t>
            </w:r>
          </w:p>
        </w:tc>
        <w:tc>
          <w:tcPr>
            <w:tcW w:type="dxa" w:w="1700"/>
            <w:tcMar>
              <w:top w:type="dxa" w:w="80"/>
              <w:left w:type="dxa" w:w="120"/>
              <w:bottom w:type="dxa" w:w="80"/>
              <w:right w:type="dxa" w:w="120"/>
            </w:tcMar>
          </w:tcPr>
          <w:p>
            <w:pPr>
              <w:spacing w:after="0" w:line="260"/>
              <w:jc w:val="right"/>
            </w:pPr>
            <w:r>
              <w:rPr>
                <w:rFonts w:ascii="Arial" w:cs="Arial" w:eastAsia="Arial" w:hAnsi="Arial"/>
                <w:b/>
                <w:bCs/>
                <w:sz w:val="20"/>
                <w:szCs w:val="20"/>
              </w:rPr>
              <w:t xml:space="preserve">73.7%</w:t>
            </w:r>
          </w:p>
        </w:tc>
        <w:tc>
          <w:tcPr>
            <w:tcW w:type="dxa" w:w="3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Retimers, modules, fabric switches</w:t>
            </w:r>
          </w:p>
        </w:tc>
      </w:tr>
      <w:tr>
        <w:tc>
          <w:tcPr>
            <w:tcW w:type="dxa" w:w="2400"/>
            <w:tcMar>
              <w:top w:type="dxa" w:w="80"/>
              <w:left w:type="dxa" w:w="120"/>
              <w:bottom w:type="dxa" w:w="80"/>
              <w:right w:type="dxa" w:w="120"/>
            </w:tcMar>
          </w:tcPr>
          <w:p>
            <w:pPr>
              <w:spacing w:after="0" w:line="260"/>
              <w:jc w:val="left"/>
            </w:pPr>
            <w:r>
              <w:rPr>
                <w:rFonts w:ascii="Arial" w:cs="Arial" w:eastAsia="Arial" w:hAnsi="Arial"/>
                <w:sz w:val="20"/>
                <w:szCs w:val="20"/>
              </w:rPr>
              <w:t xml:space="preserve">Broadcom</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n/d</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~75%</w:t>
            </w:r>
          </w:p>
        </w:tc>
        <w:tc>
          <w:tcPr>
            <w:tcW w:type="dxa" w:w="3600"/>
            <w:tcMar>
              <w:top w:type="dxa" w:w="80"/>
              <w:left w:type="dxa" w:w="120"/>
              <w:bottom w:type="dxa" w:w="80"/>
              <w:right w:type="dxa" w:w="120"/>
            </w:tcMar>
          </w:tcPr>
          <w:p>
            <w:pPr>
              <w:spacing w:after="0" w:line="260"/>
              <w:jc w:val="left"/>
            </w:pPr>
            <w:r>
              <w:rPr>
                <w:rFonts w:ascii="Arial" w:cs="Arial" w:eastAsia="Arial" w:hAnsi="Arial"/>
                <w:sz w:val="20"/>
                <w:szCs w:val="20"/>
              </w:rPr>
              <w:t xml:space="preserve">Switch ASICs, custom silicon, optics, software</w:t>
            </w:r>
          </w:p>
        </w:tc>
      </w:tr>
      <w:tr>
        <w:tc>
          <w:tcPr>
            <w:tcW w:type="dxa" w:w="2400"/>
            <w:tcMar>
              <w:top w:type="dxa" w:w="80"/>
              <w:left w:type="dxa" w:w="120"/>
              <w:bottom w:type="dxa" w:w="80"/>
              <w:right w:type="dxa" w:w="120"/>
            </w:tcMar>
          </w:tcPr>
          <w:p>
            <w:pPr>
              <w:spacing w:after="0" w:line="260"/>
              <w:jc w:val="left"/>
            </w:pPr>
            <w:r>
              <w:rPr>
                <w:rFonts w:ascii="Arial" w:cs="Arial" w:eastAsia="Arial" w:hAnsi="Arial"/>
                <w:sz w:val="20"/>
                <w:szCs w:val="20"/>
              </w:rPr>
              <w:t xml:space="preserve">Credo</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64.5%</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68.0%</w:t>
            </w:r>
          </w:p>
        </w:tc>
        <w:tc>
          <w:tcPr>
            <w:tcW w:type="dxa" w:w="3600"/>
            <w:tcMar>
              <w:top w:type="dxa" w:w="80"/>
              <w:left w:type="dxa" w:w="120"/>
              <w:bottom w:type="dxa" w:w="80"/>
              <w:right w:type="dxa" w:w="120"/>
            </w:tcMar>
          </w:tcPr>
          <w:p>
            <w:pPr>
              <w:spacing w:after="0" w:line="260"/>
              <w:jc w:val="left"/>
            </w:pPr>
            <w:r>
              <w:rPr>
                <w:rFonts w:ascii="Arial" w:cs="Arial" w:eastAsia="Arial" w:hAnsi="Arial"/>
                <w:sz w:val="20"/>
                <w:szCs w:val="20"/>
              </w:rPr>
              <w:t xml:space="preserve">Active electrical cables, SerDes</w:t>
            </w:r>
          </w:p>
        </w:tc>
      </w:tr>
      <w:tr>
        <w:tc>
          <w:tcPr>
            <w:tcW w:type="dxa" w:w="2400"/>
            <w:tcMar>
              <w:top w:type="dxa" w:w="80"/>
              <w:left w:type="dxa" w:w="120"/>
              <w:bottom w:type="dxa" w:w="80"/>
              <w:right w:type="dxa" w:w="120"/>
            </w:tcMar>
          </w:tcPr>
          <w:p>
            <w:pPr>
              <w:spacing w:after="0" w:line="260"/>
              <w:jc w:val="left"/>
            </w:pPr>
            <w:r>
              <w:rPr>
                <w:rFonts w:ascii="Arial" w:cs="Arial" w:eastAsia="Arial" w:hAnsi="Arial"/>
                <w:sz w:val="20"/>
                <w:szCs w:val="20"/>
              </w:rPr>
              <w:t xml:space="preserve">Marvell</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53.1%</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58.9%</w:t>
            </w:r>
          </w:p>
        </w:tc>
        <w:tc>
          <w:tcPr>
            <w:tcW w:type="dxa" w:w="3600"/>
            <w:tcMar>
              <w:top w:type="dxa" w:w="80"/>
              <w:left w:type="dxa" w:w="120"/>
              <w:bottom w:type="dxa" w:w="80"/>
              <w:right w:type="dxa" w:w="120"/>
            </w:tcMar>
          </w:tcPr>
          <w:p>
            <w:pPr>
              <w:spacing w:after="0" w:line="260"/>
              <w:jc w:val="left"/>
            </w:pPr>
            <w:r>
              <w:rPr>
                <w:rFonts w:ascii="Arial" w:cs="Arial" w:eastAsia="Arial" w:hAnsi="Arial"/>
                <w:sz w:val="20"/>
                <w:szCs w:val="20"/>
              </w:rPr>
              <w:t xml:space="preserve">Custom silicon, optics, networking</w:t>
            </w:r>
          </w:p>
        </w:tc>
      </w:tr>
      <w:tr>
        <w:tc>
          <w:tcPr>
            <w:tcW w:type="dxa" w:w="2400"/>
            <w:tcMar>
              <w:top w:type="dxa" w:w="80"/>
              <w:left w:type="dxa" w:w="120"/>
              <w:bottom w:type="dxa" w:w="80"/>
              <w:right w:type="dxa" w:w="120"/>
            </w:tcMar>
          </w:tcPr>
          <w:p>
            <w:pPr>
              <w:spacing w:after="0" w:line="260"/>
              <w:jc w:val="left"/>
            </w:pPr>
            <w:r>
              <w:rPr>
                <w:rFonts w:ascii="Arial" w:cs="Arial" w:eastAsia="Arial" w:hAnsi="Arial"/>
                <w:sz w:val="20"/>
                <w:szCs w:val="20"/>
              </w:rPr>
              <w:t xml:space="preserve">Parade</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40.3%</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n/d</w:t>
            </w:r>
          </w:p>
        </w:tc>
        <w:tc>
          <w:tcPr>
            <w:tcW w:type="dxa" w:w="3600"/>
            <w:tcMar>
              <w:top w:type="dxa" w:w="80"/>
              <w:left w:type="dxa" w:w="120"/>
              <w:bottom w:type="dxa" w:w="80"/>
              <w:right w:type="dxa" w:w="120"/>
            </w:tcMar>
          </w:tcPr>
          <w:p>
            <w:pPr>
              <w:spacing w:after="0" w:line="260"/>
              <w:jc w:val="left"/>
            </w:pPr>
            <w:r>
              <w:rPr>
                <w:rFonts w:ascii="Arial" w:cs="Arial" w:eastAsia="Arial" w:hAnsi="Arial"/>
                <w:sz w:val="20"/>
                <w:szCs w:val="20"/>
              </w:rPr>
              <w:t xml:space="preserve">Redrivers, display and USB-C interface</w:t>
            </w:r>
          </w:p>
        </w:tc>
      </w:tr>
    </w:tbl>
    <w:p>
      <w:pPr>
        <w:spacing w:after="120" w:line="276"/>
        <w:jc w:val="left"/>
      </w:pPr>
      <w:r>
        <w:rPr>
          <w:rFonts w:ascii="Arial" w:cs="Arial" w:eastAsia="Arial" w:hAnsi="Arial"/>
          <w:sz w:val="22"/>
          <w:szCs w:val="22"/>
        </w:rPr>
        <w:t xml:space="preserve"/>
      </w:r>
    </w:p>
    <w:p>
      <w:pPr>
        <w:spacing w:after="200" w:line="276"/>
        <w:jc w:val="left"/>
      </w:pPr>
      <w:r>
        <w:rPr>
          <w:rFonts w:ascii="Arial" w:cs="Arial" w:eastAsia="Arial" w:hAnsi="Arial"/>
          <w:sz w:val="18"/>
          <w:szCs w:val="18"/>
        </w:rPr>
        <w:t xml:space="preserve">Sources: Rambus Q2 2026 release (27 July 2026); Astera Labs Q2 2026 release (4 August 2026); Broadcom Q3 FY2026 release (2 September 2026, company-wide non-GAAP); Credo Q1 FY2027 release (quarter ended 1 August 2026); Marvell Q2 FY2027 release (27 August 2026, company-wide); Parade Q1 2026 release (22 April 2026). Broadcom and Marvell figures are company-wide and not segment-specific.</w:t>
      </w:r>
    </w:p>
    <w:p>
      <w:pPr>
        <w:spacing w:after="140" w:line="276"/>
        <w:jc w:val="left"/>
      </w:pPr>
      <w:r>
        <w:rPr>
          <w:rFonts w:ascii="Arial" w:cs="Arial" w:eastAsia="Arial" w:hAnsi="Arial"/>
          <w:sz w:val="22"/>
          <w:szCs w:val="22"/>
        </w:rPr>
        <w:t xml:space="preserve">The ordering is not accidental. Rambus, at the top, earns royalties on IP it does not manufacture. Parade, at the bottom, sells redrivers and display-interface parts where differentiation is thin. Astera sits near the top of the silicon layer because its parts carry high analogue design content relative to die area and it passes little foundry cost through to the customer. Marvell and Broadcom sit lower on gross margin partly because custom-silicon programmes for hyperscalers are negotiated on cost-plus-like terms with foundry cost passed through — a structurally different business from selling a catalogue part. The relevant reading is not that Astera is better run than Marvell, but that it currently occupies a product position where the customer pays for design rather than for silicon area.</w:t>
      </w:r>
    </w:p>
    <w:p>
      <w:pPr>
        <w:pStyle w:val="Heading2"/>
        <w:spacing w:after="180" w:before="180"/>
      </w:pPr>
      <w:r>
        <w:rPr>
          <w:rFonts w:ascii="Arial" w:cs="Arial" w:eastAsia="Arial" w:hAnsi="Arial"/>
          <w:b/>
          <w:bCs/>
          <w:color w:val="1F3864"/>
          <w:sz w:val="28"/>
          <w:szCs w:val="28"/>
        </w:rPr>
        <w:t xml:space="preserve">The standards battle, which is the real structural question</w:t>
      </w:r>
    </w:p>
    <w:p>
      <w:pPr>
        <w:spacing w:after="140" w:line="276"/>
        <w:jc w:val="left"/>
      </w:pPr>
      <w:r>
        <w:rPr>
          <w:rFonts w:ascii="Arial" w:cs="Arial" w:eastAsia="Arial" w:hAnsi="Arial"/>
          <w:sz w:val="22"/>
          <w:szCs w:val="22"/>
        </w:rPr>
        <w:t xml:space="preserve">Astera’s addressable content depends on which fabric wins the job of connecting accelerators to each other. Three candidates are live. NVIDIA opened NVLink to third parties through NVLink Fusion, announced 18 May 2025, with Astera Labs, Marvell, MediaTek, Alchip, Synopsys and Cadence named among the silicon and IP partners. The UALink Consortium — whose members include Alibaba, AMD, Apple, AWS, Cisco, Google, HPE, Intel, Meta, Microsoft and Astera itself — published its 1.0 specification in April 2025 and a further four specifications on 7 April 2026. Broadcom has shipped Tomahawk Ultra, an Ethernet switch aimed at the same scale-up job.</w:t>
      </w:r>
    </w:p>
    <w:p>
      <w:pPr>
        <w:spacing w:after="140" w:line="276"/>
        <w:jc w:val="left"/>
      </w:pPr>
      <w:r>
        <w:rPr>
          <w:rFonts w:ascii="Arial" w:cs="Arial" w:eastAsia="Arial" w:hAnsi="Arial"/>
          <w:sz w:val="22"/>
          <w:szCs w:val="22"/>
        </w:rPr>
        <w:t xml:space="preserve">Astera is inside all three tents at once. That is the most important single fact about its competitive position, and it is a deliberate hedge rather than a moat: the company does not need to know which fabric wins, only that accelerators keep needing to be connected. What no primary source establishes is whether total connectivity content per accelerator rises, falls or merely changes shape as scale-up traffic migrates from PCIe to NVLink or Ethernet. PCIe and CXL retiming remains necessary for CPU-to-accelerator, accelerator-to-network-card and accelerator-to-storage links whichever scale-up fabric is chosen, and lane counts per accelerator are rising across all fabrics. But the direction of net dollar content is (inferred), not established, and no company or consortium publishes a content-per-accelerator figure. Section 7 carries this as an open question, because it is the one that most determines how large this business can become.</w:t>
      </w:r>
    </w:p>
    <w:p>
      <w:pPr>
        <w:spacing w:after="140" w:line="276"/>
        <w:jc w:val="left"/>
      </w:pPr>
      <w:r>
        <w:rPr>
          <w:rFonts w:ascii="Arial" w:cs="Arial" w:eastAsia="Arial" w:hAnsi="Arial"/>
          <w:sz w:val="22"/>
          <w:szCs w:val="22"/>
        </w:rPr>
        <w:t xml:space="preserve">CXL deserves separate mention because it is the promise that has not arrived. Memory pooling across hosts was the original justification for the Leo product family, and no hyperscaler has disclosed production-scale pooling deployment as of September 2026 (inferred from the absence of any such disclosure, not from a denial). Memory expansion appears further along than pooling. Leo’s absence from the MD&amp;A’s demand-driver list is consistent with that.</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76"/>
        <w:jc w:val="left"/>
      </w:pPr>
      <w:r>
        <w:rPr>
          <w:rFonts w:ascii="Arial" w:cs="Arial" w:eastAsia="Arial" w:hAnsi="Arial"/>
          <w:sz w:val="22"/>
          <w:szCs w:val="22"/>
        </w:rPr>
        <w:t xml:space="preserve">Three barriers are real. First, qualification. The 10-K states that "it can take up to two years from the time a design win is secured to commencement of volume commercial shipments," and that customer qualification "may continue for several months or more" while "qualification of a product by a customer does not assure any sales." A change of manufacturing process or supplier can require re-qualification. This does not stop a competitor from entering, but it means an incumbent with silicon already qualified at the current generation holds that socket for the life of the platform, and a challenger’s win shows up in revenue two years after it is made.</w:t>
      </w:r>
    </w:p>
    <w:p>
      <w:pPr>
        <w:spacing w:after="140" w:line="276"/>
        <w:jc w:val="left"/>
      </w:pPr>
      <w:r>
        <w:rPr>
          <w:rFonts w:ascii="Arial" w:cs="Arial" w:eastAsia="Arial" w:hAnsi="Arial"/>
          <w:sz w:val="22"/>
          <w:szCs w:val="22"/>
        </w:rPr>
        <w:t xml:space="preserve">Second, standards-body incumbency. Membership of the PCI-SIG, CXL, UALink and NVLink Fusion working groups is how a vendor learns what the specification will require before it is published, and those seats are not open to arbitrary entrants. Astera holds them across every competing standard.</w:t>
      </w:r>
    </w:p>
    <w:p>
      <w:pPr>
        <w:spacing w:after="140" w:line="276"/>
        <w:jc w:val="left"/>
      </w:pPr>
      <w:r>
        <w:rPr>
          <w:rFonts w:ascii="Arial" w:cs="Arial" w:eastAsia="Arial" w:hAnsi="Arial"/>
          <w:sz w:val="22"/>
          <w:szCs w:val="22"/>
        </w:rPr>
        <w:t xml:space="preserve">Third, and most telling, Qualcomm chose to buy Alphawave Semi for roughly $2.4 billion of enterprise value, announced 9 June 2025, rather than build equivalent SerDes and connectivity capability in-house. A company with Qualcomm’s engineering resources concluding that this capability is faster to acquire than to construct is direct evidence that the analogue design talent behind high-rate SerDes is genuinely scarce.</w:t>
      </w:r>
    </w:p>
    <w:p>
      <w:pPr>
        <w:spacing w:after="140" w:line="276"/>
        <w:jc w:val="left"/>
      </w:pPr>
      <w:r>
        <w:rPr>
          <w:rFonts w:ascii="Arial" w:cs="Arial" w:eastAsia="Arial" w:hAnsi="Arial"/>
          <w:sz w:val="22"/>
          <w:szCs w:val="22"/>
        </w:rPr>
        <w:t xml:space="preserve">One barrier that is often asserted does not appear to bind: nothing prevents a hyperscaler from designing its own retimer. No primary source found any hyperscaler in-house retimer programme as of September 2026 — but that is absence of evidence rather than evidence of impossibility. Hyperscaler custom silicon efforts have concentrated on compute accelerators and network cards, where the value at stake per chip is far larger. The economic reason a retimer is unattractive to in-source is that it is a low-revenue, high-difficulty part that must be re-designed every generation; the strategic reason it might become attractive is that the buyer is spending increasingly large sums on it.</w:t>
      </w:r>
    </w:p>
    <w:p>
      <w:pPr>
        <w:pStyle w:val="Heading2"/>
        <w:spacing w:after="180" w:before="180"/>
      </w:pPr>
      <w:r>
        <w:rPr>
          <w:rFonts w:ascii="Arial" w:cs="Arial" w:eastAsia="Arial" w:hAnsi="Arial"/>
          <w:b/>
          <w:bCs/>
          <w:color w:val="1F3864"/>
          <w:sz w:val="28"/>
          <w:szCs w:val="28"/>
        </w:rPr>
        <w:t xml:space="preserve">Testing the company’s account of itself</w:t>
      </w:r>
    </w:p>
    <w:p>
      <w:pPr>
        <w:spacing w:after="140" w:line="276"/>
        <w:jc w:val="left"/>
      </w:pPr>
      <w:r>
        <w:rPr>
          <w:rFonts w:ascii="Arial" w:cs="Arial" w:eastAsia="Arial" w:hAnsi="Arial"/>
          <w:sz w:val="22"/>
          <w:szCs w:val="22"/>
        </w:rPr>
        <w:t xml:space="preserve">The filings claim a "differentiated and holistic Intelligent Connectivity Platform" and note that competitors "typically compete with us with respect to some, but not all, of our solutions." Outside evidence partially supports this. The four-family plus software breadth is real and no named competitor matches it across exactly the same four categories. But Broadcom generated $16.7 billion of AI semiconductor revenue in the quarter ended 2 August 2026 and guided to roughly $21.7 billion for the following quarter (Broadcom release, 2 September 2026), against Astera’s $392.4 million quarter. Astera competes in a market where the largest participant is roughly fifty times its size in AI revenue and earns a 68% non-GAAP operating margin. The claim of differentiation is supported; any claim of scale advantage is contradicted.</w:t>
      </w:r>
    </w:p>
    <w:p>
      <w:pPr>
        <w:spacing w:after="140" w:line="276"/>
        <w:jc w:val="left"/>
      </w:pPr>
      <w:r>
        <w:rPr>
          <w:rFonts w:ascii="Arial" w:cs="Arial" w:eastAsia="Arial" w:hAnsi="Arial"/>
          <w:sz w:val="22"/>
          <w:szCs w:val="22"/>
        </w:rPr>
        <w:t xml:space="preserve">The company names its own competitors as Broadcom, Credo, Marvell, Microchip, Montage Technology, Parade Technologies and Rambus (FY2025 10-K). Credo is the closest comparable by growth and product adjacency, having grown revenue 115% year-on-year to $479.0 million in the quarter ended 1 August 2026 with 64.5% GAAP gross margin and similar customer concentration — its top ten customers represent roughly 90% of revenue. Two companies growing at a hundred per cent into the same customer set is evidence of a demand surge, not of a defended niche.</w:t>
      </w:r>
    </w:p>
    <w:p>
      <w:pPr>
        <w:spacing w:after="140" w:line="276"/>
        <w:jc w:val="left"/>
      </w:pPr>
      <w:r>
        <w:rPr>
          <w:rFonts w:ascii="Arial" w:cs="Arial" w:eastAsia="Arial" w:hAnsi="Arial"/>
          <w:sz w:val="22"/>
          <w:szCs w:val="22"/>
        </w:rPr>
        <w:t xml:space="preserve">What kind of company wins here: the evidence favours firms that hold qualified silicon at the current generation, sit inside multiple competing standards bodies, and earn margin from design content rather than silicon area. Astera is that kind of company on all three counts today. The qualification that matters is that this describes its present position, not a structural guarantee, because each of the three has to be re-earned at every generation transition.</w:t>
      </w:r>
    </w:p>
    <w:p>
      <w:r>
        <w:br w:type="page"/>
      </w:r>
    </w:p>
    <w:p>
      <w:pPr>
        <w:pStyle w:val="Heading1"/>
        <w:spacing w:after="200" w:before="360"/>
      </w:pPr>
      <w:r>
        <w:rPr>
          <w:rFonts w:ascii="Arial" w:cs="Arial" w:eastAsia="Arial" w:hAnsi="Arial"/>
          <w:b/>
          <w:bCs/>
          <w:color w:val="1F3864"/>
          <w:sz w:val="32"/>
          <w:szCs w:val="32"/>
        </w:rPr>
        <w:t xml:space="preserve">4.  Growth Engine</w:t>
      </w:r>
    </w:p>
    <w:p>
      <w:pPr>
        <w:pStyle w:val="Heading2"/>
        <w:spacing w:after="180" w:before="180"/>
      </w:pPr>
      <w:r>
        <w:rPr>
          <w:rFonts w:ascii="Arial" w:cs="Arial" w:eastAsia="Arial" w:hAnsi="Arial"/>
          <w:b/>
          <w:bCs/>
          <w:color w:val="1F3864"/>
          <w:sz w:val="28"/>
          <w:szCs w:val="28"/>
        </w:rPr>
        <w:t xml:space="preserve">Reported growth is organic growth</w:t>
      </w:r>
    </w:p>
    <w:p>
      <w:pPr>
        <w:spacing w:after="140" w:line="276"/>
        <w:jc w:val="left"/>
      </w:pPr>
      <w:r>
        <w:rPr>
          <w:rFonts w:ascii="Arial" w:cs="Arial" w:eastAsia="Arial" w:hAnsi="Arial"/>
          <w:sz w:val="22"/>
          <w:szCs w:val="22"/>
        </w:rPr>
        <w:t xml:space="preserve">Astera has made three acquisitions. aiXscale Photonics GmbH closed on 10 November 2025 for $31.1 million, of which $16.9 million went to goodwill and $14.5 million to in-process research and development — a pre-revenue photonics capability, not a revenue stream. An unnamed private company in data-centre acceleration closed on 9 February 2026 for $74.0 million, of which $68.4 million went to goodwill attributed to "expected synergies and assembled workforce," with intangibles and net identifiable assets described as immaterial. A third closed on 29 May 2026 and was itself immaterial. No acquisition in any period contributed material revenue, and the purchase-price allocations confirm it: essentially all consideration landed in goodwill and IPR&amp;D rather than in acquired revenue-generating assets.</w:t>
      </w:r>
    </w:p>
    <w:tbl>
      <w:tblPr>
        <w:tblW w:type="dxa" w:w="945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1750"/>
        <w:gridCol w:w="1750"/>
        <w:gridCol w:w="1750"/>
        <w:gridCol w:w="2000"/>
      </w:tblGrid>
      <w:tr>
        <w:trPr>
          <w:tblHeader/>
        </w:trPr>
        <w:tc>
          <w:tcPr>
            <w:tcW w:type="dxa" w:w="22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FY2023</w:t>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FY2024</w:t>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FY2025</w:t>
            </w:r>
          </w:p>
        </w:tc>
        <w:tc>
          <w:tcPr>
            <w:tcW w:type="dxa" w:w="20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H1 2026</w:t>
            </w:r>
          </w:p>
        </w:tc>
      </w:tr>
      <w:tr>
        <w:tc>
          <w:tcPr>
            <w:tcW w:type="dxa" w:w="22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 ($m)</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115.8</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396.3</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852.5</w:t>
            </w:r>
          </w:p>
        </w:tc>
        <w:tc>
          <w:tcPr>
            <w:tcW w:type="dxa" w:w="2000"/>
            <w:tcMar>
              <w:top w:type="dxa" w:w="80"/>
              <w:left w:type="dxa" w:w="120"/>
              <w:bottom w:type="dxa" w:w="80"/>
              <w:right w:type="dxa" w:w="120"/>
            </w:tcMar>
          </w:tcPr>
          <w:p>
            <w:pPr>
              <w:spacing w:after="0" w:line="260"/>
              <w:jc w:val="right"/>
            </w:pPr>
            <w:r>
              <w:rPr>
                <w:rFonts w:ascii="Arial" w:cs="Arial" w:eastAsia="Arial" w:hAnsi="Arial"/>
                <w:sz w:val="20"/>
                <w:szCs w:val="20"/>
              </w:rPr>
              <w:t xml:space="preserve">700.8</w:t>
            </w:r>
          </w:p>
        </w:tc>
      </w:tr>
      <w:tr>
        <w:tc>
          <w:tcPr>
            <w:tcW w:type="dxa" w:w="22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Reported growth</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45%</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242%</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115%</w:t>
            </w:r>
          </w:p>
        </w:tc>
        <w:tc>
          <w:tcPr>
            <w:tcW w:type="dxa" w:w="2000"/>
            <w:tcMar>
              <w:top w:type="dxa" w:w="80"/>
              <w:left w:type="dxa" w:w="120"/>
              <w:bottom w:type="dxa" w:w="80"/>
              <w:right w:type="dxa" w:w="120"/>
            </w:tcMar>
          </w:tcPr>
          <w:p>
            <w:pPr>
              <w:spacing w:after="0" w:line="260"/>
              <w:jc w:val="right"/>
            </w:pPr>
            <w:r>
              <w:rPr>
                <w:rFonts w:ascii="Arial" w:cs="Arial" w:eastAsia="Arial" w:hAnsi="Arial"/>
                <w:sz w:val="20"/>
                <w:szCs w:val="20"/>
              </w:rPr>
              <w:t xml:space="preserve">99%</w:t>
            </w:r>
          </w:p>
        </w:tc>
      </w:tr>
      <w:tr>
        <w:tc>
          <w:tcPr>
            <w:tcW w:type="dxa" w:w="22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Acquired revenue</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none</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none</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immaterial</w:t>
            </w:r>
          </w:p>
        </w:tc>
        <w:tc>
          <w:tcPr>
            <w:tcW w:type="dxa" w:w="2000"/>
            <w:tcMar>
              <w:top w:type="dxa" w:w="80"/>
              <w:left w:type="dxa" w:w="120"/>
              <w:bottom w:type="dxa" w:w="80"/>
              <w:right w:type="dxa" w:w="120"/>
            </w:tcMar>
          </w:tcPr>
          <w:p>
            <w:pPr>
              <w:spacing w:after="0" w:line="260"/>
              <w:jc w:val="right"/>
            </w:pPr>
            <w:r>
              <w:rPr>
                <w:rFonts w:ascii="Arial" w:cs="Arial" w:eastAsia="Arial" w:hAnsi="Arial"/>
                <w:sz w:val="20"/>
                <w:szCs w:val="20"/>
              </w:rPr>
              <w:t xml:space="preserve">immaterial</w:t>
            </w:r>
          </w:p>
        </w:tc>
      </w:tr>
      <w:tr>
        <w:tc>
          <w:tcPr>
            <w:tcW w:type="dxa" w:w="22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Organic growth</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45%</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242%</w:t>
            </w:r>
          </w:p>
        </w:tc>
        <w:tc>
          <w:tcPr>
            <w:tcW w:type="dxa" w:w="1750"/>
            <w:tcMar>
              <w:top w:type="dxa" w:w="80"/>
              <w:left w:type="dxa" w:w="120"/>
              <w:bottom w:type="dxa" w:w="80"/>
              <w:right w:type="dxa" w:w="120"/>
            </w:tcMar>
          </w:tcPr>
          <w:p>
            <w:pPr>
              <w:spacing w:after="0" w:line="260"/>
              <w:jc w:val="right"/>
            </w:pPr>
            <w:r>
              <w:rPr>
                <w:rFonts w:ascii="Arial" w:cs="Arial" w:eastAsia="Arial" w:hAnsi="Arial"/>
                <w:sz w:val="20"/>
                <w:szCs w:val="20"/>
              </w:rPr>
              <w:t xml:space="preserve">~115%</w:t>
            </w:r>
          </w:p>
        </w:tc>
        <w:tc>
          <w:tcPr>
            <w:tcW w:type="dxa" w:w="2000"/>
            <w:tcMar>
              <w:top w:type="dxa" w:w="80"/>
              <w:left w:type="dxa" w:w="120"/>
              <w:bottom w:type="dxa" w:w="80"/>
              <w:right w:type="dxa" w:w="120"/>
            </w:tcMar>
          </w:tcPr>
          <w:p>
            <w:pPr>
              <w:spacing w:after="0" w:line="260"/>
              <w:jc w:val="right"/>
            </w:pPr>
            <w:r>
              <w:rPr>
                <w:rFonts w:ascii="Arial" w:cs="Arial" w:eastAsia="Arial" w:hAnsi="Arial"/>
                <w:sz w:val="20"/>
                <w:szCs w:val="20"/>
              </w:rPr>
              <w:t xml:space="preserve">~99%</w:t>
            </w:r>
          </w:p>
        </w:tc>
      </w:tr>
    </w:tbl>
    <w:p>
      <w:pPr>
        <w:spacing w:after="120" w:line="276"/>
        <w:jc w:val="left"/>
      </w:pPr>
      <w:r>
        <w:rPr>
          <w:rFonts w:ascii="Arial" w:cs="Arial" w:eastAsia="Arial" w:hAnsi="Arial"/>
          <w:sz w:val="22"/>
          <w:szCs w:val="22"/>
        </w:rPr>
        <w:t xml:space="preserve"/>
      </w:r>
    </w:p>
    <w:p>
      <w:pPr>
        <w:spacing w:after="200" w:line="276"/>
        <w:jc w:val="left"/>
      </w:pPr>
      <w:r>
        <w:rPr>
          <w:rFonts w:ascii="Arial" w:cs="Arial" w:eastAsia="Arial" w:hAnsi="Arial"/>
          <w:sz w:val="18"/>
          <w:szCs w:val="18"/>
        </w:rPr>
        <w:t xml:space="preserve">Source: FY2024 and FY2025 Forms 10-K; Q2 2026 Form 10-Q. Organic growth is inferred from the immateriality of acquired revenue disclosed in the business-combination footnotes; the company does not publish an organic growth figure.</w:t>
      </w:r>
    </w:p>
    <w:p>
      <w:pPr>
        <w:spacing w:after="140" w:line="276"/>
        <w:jc w:val="left"/>
      </w:pPr>
      <w:r>
        <w:rPr>
          <w:rFonts w:ascii="Arial" w:cs="Arial" w:eastAsia="Arial" w:hAnsi="Arial"/>
          <w:sz w:val="22"/>
          <w:szCs w:val="22"/>
        </w:rPr>
        <w:t xml:space="preserve">This matters because reported and organic growth being the same means the growth rate describes the business as it stands rather than a series of purchases. It also means the acquisitions have to be understood as capability purchases — optical engines and acceleration IP bought to widen the product surface for 2027 and beyond — and judged on whether they produce products, not on what they added to the current line.</w:t>
      </w:r>
    </w:p>
    <w:p>
      <w:pPr>
        <w:pStyle w:val="Heading2"/>
        <w:spacing w:after="180" w:before="180"/>
      </w:pPr>
      <w:r>
        <w:rPr>
          <w:rFonts w:ascii="Arial" w:cs="Arial" w:eastAsia="Arial" w:hAnsi="Arial"/>
          <w:b/>
          <w:bCs/>
          <w:color w:val="1F3864"/>
          <w:sz w:val="28"/>
          <w:szCs w:val="28"/>
        </w:rPr>
        <w:t xml:space="preserve">What is actually driving the revenue</w:t>
      </w:r>
    </w:p>
    <w:p>
      <w:pPr>
        <w:spacing w:after="140" w:line="276"/>
        <w:jc w:val="left"/>
      </w:pPr>
      <w:r>
        <w:rPr>
          <w:rFonts w:ascii="Arial" w:cs="Arial" w:eastAsia="Arial" w:hAnsi="Arial"/>
          <w:sz w:val="22"/>
          <w:szCs w:val="22"/>
        </w:rPr>
        <w:t xml:space="preserve">The MD&amp;A gives one sentence of decomposition, repeated verbatim across the FY2025 10-K and the Q2 2026 10-Q: revenue rose "primarily due to an increase in overall unit shipments driven by higher demand for our Aries, Scorpio, and Taurus products, as well as higher overall average selling prices resulting from an increased mix of hardware modules and Scorpio products." Both volume and price are rising; neither is quantified. The drivers below are ranked by their apparent contribution and labelled by durability.</w:t>
      </w:r>
    </w:p>
    <w:p>
      <w:pPr>
        <w:pStyle w:val="ListParagraph"/>
        <w:numPr>
          <w:ilvl w:val="0"/>
          <w:numId w:val="2"/>
        </w:numPr>
        <w:spacing w:after="100" w:line="276"/>
      </w:pPr>
      <w:r>
        <w:rPr>
          <w:rFonts w:ascii="Arial" w:cs="Arial" w:eastAsia="Arial" w:hAnsi="Arial"/>
          <w:b/>
          <w:bCs/>
          <w:sz w:val="22"/>
          <w:szCs w:val="22"/>
        </w:rPr>
        <w:t xml:space="preserve">Accelerator unit growth at three end customers — structural, for now. </w:t>
      </w:r>
      <w:r>
        <w:rPr>
          <w:rFonts w:ascii="Arial" w:cs="Arial" w:eastAsia="Arial" w:hAnsi="Arial"/>
          <w:sz w:val="22"/>
          <w:szCs w:val="22"/>
        </w:rPr>
        <w:t xml:space="preserve">Every connectivity part ships because an accelerator shipped. All four hyperscalers raised or held aggressive capital-spending trajectories through mid-2026: Microsoft spent $115.9 billion in the year to June 2026 against $64.6 billion the year before, Meta guided to $130–145 billion for 2026, and Alphabet raised 2026 guidance to roughly $195–205 billion. This is the largest driver and the one Astera controls least.</w:t>
      </w:r>
    </w:p>
    <w:p>
      <w:pPr>
        <w:pStyle w:val="ListParagraph"/>
        <w:numPr>
          <w:ilvl w:val="0"/>
          <w:numId w:val="2"/>
        </w:numPr>
        <w:spacing w:after="100" w:line="276"/>
      </w:pPr>
      <w:r>
        <w:rPr>
          <w:rFonts w:ascii="Arial" w:cs="Arial" w:eastAsia="Arial" w:hAnsi="Arial"/>
          <w:b/>
          <w:bCs/>
          <w:sz w:val="22"/>
          <w:szCs w:val="22"/>
        </w:rPr>
        <w:t xml:space="preserve">Content growth per accelerator as PCIe generations advance — structural. </w:t>
      </w:r>
      <w:r>
        <w:rPr>
          <w:rFonts w:ascii="Arial" w:cs="Arial" w:eastAsia="Arial" w:hAnsi="Arial"/>
          <w:sz w:val="22"/>
          <w:szCs w:val="22"/>
        </w:rPr>
        <w:t xml:space="preserve">Each speed doubling shortens copper’s usable reach while lane counts per accelerator rise, mechanically increasing the number of retiming and signal-conditioning devices a given system needs. This is the driver that does not depend on the unit count rising, and it is the reason the business is not simply a leveraged bet on accelerator volume.</w:t>
      </w:r>
    </w:p>
    <w:p>
      <w:pPr>
        <w:pStyle w:val="ListParagraph"/>
        <w:numPr>
          <w:ilvl w:val="0"/>
          <w:numId w:val="2"/>
        </w:numPr>
        <w:spacing w:after="100" w:line="276"/>
      </w:pPr>
      <w:r>
        <w:rPr>
          <w:rFonts w:ascii="Arial" w:cs="Arial" w:eastAsia="Arial" w:hAnsi="Arial"/>
          <w:b/>
          <w:bCs/>
          <w:sz w:val="22"/>
          <w:szCs w:val="22"/>
        </w:rPr>
        <w:t xml:space="preserve">Mix shift into Scorpio switches and hardware modules — management-driven. </w:t>
      </w:r>
      <w:r>
        <w:rPr>
          <w:rFonts w:ascii="Arial" w:cs="Arial" w:eastAsia="Arial" w:hAnsi="Arial"/>
          <w:sz w:val="22"/>
          <w:szCs w:val="22"/>
        </w:rPr>
        <w:t xml:space="preserve">Scorpio was guided on 4 August 2026 to become the largest product family in Q3 2026, a quarter earlier than management had previously expected. Modules and switches carry materially higher selling prices than bare integrated circuits, so this lifts revenue per socket. It also lowers gross margin, which Section 5 takes up.</w:t>
      </w:r>
    </w:p>
    <w:p>
      <w:pPr>
        <w:pStyle w:val="ListParagraph"/>
        <w:numPr>
          <w:ilvl w:val="0"/>
          <w:numId w:val="2"/>
        </w:numPr>
        <w:spacing w:after="100" w:line="276"/>
      </w:pPr>
      <w:r>
        <w:rPr>
          <w:rFonts w:ascii="Arial" w:cs="Arial" w:eastAsia="Arial" w:hAnsi="Arial"/>
          <w:b/>
          <w:bCs/>
          <w:sz w:val="22"/>
          <w:szCs w:val="22"/>
        </w:rPr>
        <w:t xml:space="preserve">Customer broadening — management-driven, partially confirmed. </w:t>
      </w:r>
      <w:r>
        <w:rPr>
          <w:rFonts w:ascii="Arial" w:cs="Arial" w:eastAsia="Arial" w:hAnsi="Arial"/>
          <w:sz w:val="22"/>
          <w:szCs w:val="22"/>
        </w:rPr>
        <w:t xml:space="preserve">Five customers of record exceeded 10% of revenue in FY2025 against three in FY2024. The Q2 2026 10-Q cautions that this partly reflects volume shifting between manufacturing partners rather than genuinely new end customers, and the 86% top-three end-customer figure suggests broadening at the end-customer level has been modest so far.</w:t>
      </w:r>
    </w:p>
    <w:p>
      <w:pPr>
        <w:pStyle w:val="ListParagraph"/>
        <w:numPr>
          <w:ilvl w:val="0"/>
          <w:numId w:val="2"/>
        </w:numPr>
        <w:spacing w:after="100" w:line="276"/>
      </w:pPr>
      <w:r>
        <w:rPr>
          <w:rFonts w:ascii="Arial" w:cs="Arial" w:eastAsia="Arial" w:hAnsi="Arial"/>
          <w:b/>
          <w:bCs/>
          <w:sz w:val="22"/>
          <w:szCs w:val="22"/>
        </w:rPr>
        <w:t xml:space="preserve">Optical and custom silicon — temporary in the sense that it contributes nothing yet. </w:t>
      </w:r>
      <w:r>
        <w:rPr>
          <w:rFonts w:ascii="Arial" w:cs="Arial" w:eastAsia="Arial" w:hAnsi="Arial"/>
          <w:sz w:val="22"/>
          <w:szCs w:val="22"/>
        </w:rPr>
        <w:t xml:space="preserve">The CEO cited "expansion into optical interconnects and custom solutions" as expanding the opportunity "in 2027 and beyond." The aiXscale acquisition supplies the photonics capability. No revenue is attributed to either today.</w:t>
      </w:r>
    </w:p>
    <w:p>
      <w:pPr>
        <w:pStyle w:val="Heading2"/>
        <w:spacing w:after="180" w:before="180"/>
      </w:pPr>
      <w:r>
        <w:rPr>
          <w:rFonts w:ascii="Arial" w:cs="Arial" w:eastAsia="Arial" w:hAnsi="Arial"/>
          <w:b/>
          <w:bCs/>
          <w:color w:val="1F3864"/>
          <w:sz w:val="28"/>
          <w:szCs w:val="28"/>
        </w:rPr>
        <w:t xml:space="preserve">The near-term shape of it</w:t>
      </w:r>
    </w:p>
    <w:p>
      <w:pPr>
        <w:spacing w:after="140" w:line="276"/>
        <w:jc w:val="left"/>
      </w:pPr>
      <w:r>
        <w:rPr>
          <w:rFonts w:ascii="Arial" w:cs="Arial" w:eastAsia="Arial" w:hAnsi="Arial"/>
          <w:sz w:val="22"/>
          <w:szCs w:val="22"/>
        </w:rPr>
        <w:t xml:space="preserve">Guidance for Q3 2026 is $540–560 million of revenue against $392.4 million delivered in Q2 — a sequential increase of roughly 40% at the midpoint, on top of a quarter that itself grew 27% sequentially and 104% year-on-year (Q2 2026 release, 4 August 2026). Q2 revenue exceeded the top of the company’s own guidance range of $355–365 million by about $27 million. The acceleration is the point: this business is not compounding steadily, it is inflecting, and the same operating leverage that produces a 40% sequential step would work in reverse against a pause in accelerator deployment.</w:t>
      </w:r>
    </w:p>
    <w:p>
      <w:pPr>
        <w:spacing w:after="140" w:line="276"/>
        <w:jc w:val="left"/>
      </w:pPr>
      <w:r>
        <w:rPr>
          <w:rFonts w:ascii="Arial" w:cs="Arial" w:eastAsia="Arial" w:hAnsi="Arial"/>
          <w:sz w:val="22"/>
          <w:szCs w:val="22"/>
        </w:rPr>
        <w:t xml:space="preserve">Two balance-sheet items corroborate the ramp and should be read alongside it. Inventory rose from $59.0 million at the end of FY2025 to $113.8 million at 30 June 2026, and receivables from $83.2 million to $192.5 million. Purchase commitments to manufacturing partners rose from $74.9 million at 31 December 2025 to $181.7 million six months later. The company is building and committing ahead of the guided revenue, which is consistent with the guidance and also the mechanism by which a demand pause would become a write-down.</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600"/>
        <w:gridCol w:w="1600"/>
        <w:gridCol w:w="1600"/>
        <w:gridCol w:w="1700"/>
      </w:tblGrid>
      <w:tr>
        <w:trPr>
          <w:tblHeader/>
        </w:trPr>
        <w:tc>
          <w:tcPr>
            <w:tcW w:type="dxa" w:w="29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FY2023</w:t>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FY2024</w:t>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FY2025</w:t>
            </w:r>
          </w:p>
        </w:tc>
        <w:tc>
          <w:tcPr>
            <w:tcW w:type="dxa" w:w="17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H1 2026</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 ($m)</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115.8</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396.3</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852.5</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700.8</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GAAP gross margin</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68.9%</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76.4%</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75.7%</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74.6%</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GAAP operating margin</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(25.5)%</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(29.3)%</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20.3%</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21.6%</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Non-GAAP operating margin</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(16.3)%</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30.2%</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39.2%</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37.8%</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Stock comp (% revenue)</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9.2%</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59.2%</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18.8%</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16.1%</w:t>
            </w:r>
          </w:p>
        </w:tc>
      </w:tr>
      <w:tr>
        <w:tc>
          <w:tcPr>
            <w:tcW w:type="dxa" w:w="2900"/>
            <w:shd w:fill="F2F2F2"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Operating cash flow ($m)</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(12.7)</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136.7</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319.3</w:t>
            </w:r>
          </w:p>
        </w:tc>
        <w:tc>
          <w:tcPr>
            <w:tcW w:type="dxa" w:w="1700"/>
            <w:tcMar>
              <w:top w:type="dxa" w:w="80"/>
              <w:left w:type="dxa" w:w="120"/>
              <w:bottom w:type="dxa" w:w="80"/>
              <w:right w:type="dxa" w:w="120"/>
            </w:tcMar>
          </w:tcPr>
          <w:p>
            <w:pPr>
              <w:spacing w:after="0" w:line="260"/>
              <w:jc w:val="right"/>
            </w:pPr>
            <w:r>
              <w:rPr>
                <w:rFonts w:ascii="Arial" w:cs="Arial" w:eastAsia="Arial" w:hAnsi="Arial"/>
                <w:sz w:val="20"/>
                <w:szCs w:val="20"/>
              </w:rPr>
              <w:t xml:space="preserve">162.3</w:t>
            </w:r>
          </w:p>
        </w:tc>
      </w:tr>
    </w:tbl>
    <w:p>
      <w:pPr>
        <w:spacing w:after="120" w:line="276"/>
        <w:jc w:val="left"/>
      </w:pPr>
      <w:r>
        <w:rPr>
          <w:rFonts w:ascii="Arial" w:cs="Arial" w:eastAsia="Arial" w:hAnsi="Arial"/>
          <w:sz w:val="22"/>
          <w:szCs w:val="22"/>
        </w:rPr>
        <w:t xml:space="preserve"/>
      </w:r>
    </w:p>
    <w:p>
      <w:pPr>
        <w:spacing w:after="200" w:line="276"/>
        <w:jc w:val="left"/>
      </w:pPr>
      <w:r>
        <w:rPr>
          <w:rFonts w:ascii="Arial" w:cs="Arial" w:eastAsia="Arial" w:hAnsi="Arial"/>
          <w:sz w:val="18"/>
          <w:szCs w:val="18"/>
        </w:rPr>
        <w:t xml:space="preserve">Sources: FY2024 and FY2025 Forms 10-K; Q2 2026 Form 10-Q. Margin percentages and stock-compensation ratios are calculated from reported dollar figures. Comparability warnings: FY2024 includes an $88.9 million one-time stock-compensation charge triggered by the March 2024 IPO, which is why GAAP operating margin is negative that year on 242% revenue growth. The non-GAAP definition has widened twice — FY2025 added acquisition-related costs, and the Q2 2026 10-Q added fair-value adjustments on private equity investments — so the non-GAAP row is not measured consistently across the four columns. H1 2026 is a half-year and is not annualised.</w:t>
      </w:r>
    </w:p>
    <w:p>
      <w:pPr>
        <w:pStyle w:val="Heading2"/>
        <w:spacing w:after="180" w:before="180"/>
      </w:pPr>
      <w:r>
        <w:rPr>
          <w:rFonts w:ascii="Arial" w:cs="Arial" w:eastAsia="Arial" w:hAnsi="Arial"/>
          <w:b/>
          <w:bCs/>
          <w:color w:val="1F3864"/>
          <w:sz w:val="28"/>
          <w:szCs w:val="28"/>
        </w:rPr>
        <w:t xml:space="preserve">Why the gross margin is falling while the business improves</w:t>
      </w:r>
    </w:p>
    <w:p>
      <w:pPr>
        <w:spacing w:after="140" w:line="276"/>
        <w:jc w:val="left"/>
      </w:pPr>
      <w:r>
        <w:rPr>
          <w:rFonts w:ascii="Arial" w:cs="Arial" w:eastAsia="Arial" w:hAnsi="Arial"/>
          <w:sz w:val="22"/>
          <w:szCs w:val="22"/>
        </w:rPr>
        <w:t xml:space="preserve">Gross margin peaked at 77.9% in Q2 2024 and has declined to 73.3% in Q2 2026, with guidance of roughly 72% for Q3. Nothing has gone wrong. The 10-Q names two causes: "a shift in product mix towards lower margin hardware modules, as well as the impact of the Warrants."</w:t>
      </w:r>
    </w:p>
    <w:p>
      <w:pPr>
        <w:spacing w:after="140" w:line="276"/>
        <w:jc w:val="left"/>
      </w:pPr>
      <w:r>
        <w:rPr>
          <w:rFonts w:ascii="Arial" w:cs="Arial" w:eastAsia="Arial" w:hAnsi="Arial"/>
          <w:sz w:val="22"/>
          <w:szCs w:val="22"/>
        </w:rPr>
        <w:t xml:space="preserve">The mix effect is the deliberate consequence of the growth strategy. A bare retimer integrated circuit is nearly pure design content sold at high margin on a small piece of silicon. A cable module wraps that chip in connectors, cable and assembly, all of which cost real money and none of which carries Astera’s design premium. A Scorpio fabric switch is a much larger die. Each of these raises revenue per socket and lowers the percentage margin on it. Gross profit dollars per socket rise; the ratio falls. An investor watching only the percentage would read the company’s most successful product transition as deterioration.</w:t>
      </w:r>
    </w:p>
    <w:p>
      <w:pPr>
        <w:pStyle w:val="Heading2"/>
        <w:spacing w:after="180" w:before="180"/>
      </w:pPr>
      <w:r>
        <w:rPr>
          <w:rFonts w:ascii="Arial" w:cs="Arial" w:eastAsia="Arial" w:hAnsi="Arial"/>
          <w:b/>
          <w:bCs/>
          <w:color w:val="1F3864"/>
          <w:sz w:val="28"/>
          <w:szCs w:val="28"/>
        </w:rPr>
        <w:t xml:space="preserve">The customer warrant, and why it grows</w:t>
      </w:r>
    </w:p>
    <w:p>
      <w:pPr>
        <w:spacing w:after="140" w:line="276"/>
        <w:jc w:val="left"/>
      </w:pPr>
      <w:r>
        <w:rPr>
          <w:rFonts w:ascii="Arial" w:cs="Arial" w:eastAsia="Arial" w:hAnsi="Arial"/>
          <w:sz w:val="22"/>
          <w:szCs w:val="22"/>
        </w:rPr>
        <w:t xml:space="preserve">The second cause is structurally more interesting. Astera has issued three tranches of stock warrants to Amazon.com NV Investment Holdings LLC: 1,484,230 shares at $20.34 granted in October 2022, 831,945 shares at $20.34 in October 2023, and 3,262,299 shares at $142.82 granted on 5 February 2026 with a maximum fair value of $280.0 million and an expiry of 5 February 2033. The 2026 tranche vests against tranches of purchases totalling up to $6.5 billion, covering smart fabric switch, signal conditioning and optical engine products.</w:t>
      </w:r>
    </w:p>
    <w:p>
      <w:pPr>
        <w:spacing w:after="140" w:line="276"/>
        <w:jc w:val="left"/>
      </w:pPr>
      <w:r>
        <w:rPr>
          <w:rFonts w:ascii="Arial" w:cs="Arial" w:eastAsia="Arial" w:hAnsi="Arial"/>
          <w:sz w:val="22"/>
          <w:szCs w:val="22"/>
        </w:rPr>
        <w:t xml:space="preserve">The accounting is the part that matters. The 10-K states the warrants are treated "as consideration payable as we did not receive a distinct good or service in exchange," and that as vesting becomes probable "we recognize the related grant date fair value of the warrants as a reduction of revenue." The warrant is therefore not an expense below the line — it is a deduction from revenue, landing directly in gross margin. The charge was $1.4 million in FY2024, $5.5 million in FY2025, $2.1 million in Q1 2026 and $10.2 million in Q2 2026 alone.</w:t>
      </w:r>
    </w:p>
    <w:p>
      <w:pPr>
        <w:spacing w:after="140" w:line="276"/>
        <w:jc w:val="left"/>
      </w:pPr>
      <w:r>
        <w:rPr>
          <w:rFonts w:ascii="Arial" w:cs="Arial" w:eastAsia="Arial" w:hAnsi="Arial"/>
          <w:sz w:val="22"/>
          <w:szCs w:val="22"/>
        </w:rPr>
        <w:t xml:space="preserve">The mechanism compounds in an unusual direction: the better the Amazon relationship performs, the larger the deduction from reported revenue and the greater the drag on reported gross margin, amortising until January 2033. The economics are sound — the company is buying a $6.5 billion purchase commitment framework with equity — but reported growth and reported margin will understate the underlying business by a widening amount for as long as this customer ramps. The vesting dollar breakpoints are redacted from the filed exhibits, so the path of the charge cannot be modelled from public sources. Cumulative vested and exercisable shares stood at 1,663,042 at 30 June 2026, none yet exercised.</w:t>
      </w:r>
    </w:p>
    <w:p>
      <w:pPr>
        <w:pStyle w:val="Heading2"/>
        <w:spacing w:after="180" w:before="180"/>
      </w:pPr>
      <w:r>
        <w:rPr>
          <w:rFonts w:ascii="Arial" w:cs="Arial" w:eastAsia="Arial" w:hAnsi="Arial"/>
          <w:b/>
          <w:bCs/>
          <w:color w:val="1F3864"/>
          <w:sz w:val="28"/>
          <w:szCs w:val="28"/>
        </w:rPr>
        <w:t xml:space="preserve">Stock compensation, and the tax line that depends on it</w:t>
      </w:r>
    </w:p>
    <w:p>
      <w:pPr>
        <w:spacing w:after="140" w:line="276"/>
        <w:jc w:val="left"/>
      </w:pPr>
      <w:r>
        <w:rPr>
          <w:rFonts w:ascii="Arial" w:cs="Arial" w:eastAsia="Arial" w:hAnsi="Arial"/>
          <w:sz w:val="22"/>
          <w:szCs w:val="22"/>
        </w:rPr>
        <w:t xml:space="preserve">Stock compensation ran 18.8% of revenue in FY2025 and 16.1% in H1 2026, down sharply from FY2024 because that year carried the one-off IPO charge. The gap between GAAP and non-GAAP operating margin — 18.9 points in FY2025, 16.4 points in Q2 2026 — is almost entirely this. The cash cost appears as dilution: shares outstanding went from 162.0 million at the end of FY2024 to 170.2 million at the end of FY2025 to 173.5 million at 30 June 2026, roughly 7% over eighteen months, and guidance assumes about 185 million diluted shares in Q3 2026. There is no share repurchase programme; none is disclosed anywhere in the filings.</w:t>
      </w:r>
    </w:p>
    <w:p>
      <w:pPr>
        <w:spacing w:after="140" w:line="276"/>
        <w:jc w:val="left"/>
      </w:pPr>
      <w:r>
        <w:rPr>
          <w:rFonts w:ascii="Arial" w:cs="Arial" w:eastAsia="Arial" w:hAnsi="Arial"/>
          <w:sz w:val="22"/>
          <w:szCs w:val="22"/>
        </w:rPr>
        <w:t xml:space="preserve">The same stock compensation drives a tax line that deserves attention. FY2025 GAAP net income of $219.1 million exceeded GAAP operating income of $173.4 million, and Q2 2026 net income of $153.1 million exceeded operating income of $89.2 million. The reason is a negative effective tax rate — minus 0.4% in FY2025 and minus 48.9% in Q2 2026 — driven by "excess tax benefits of stock-based compensation" worth $171.2 million in FY2025 alone, plus research credits. This is not a valuation-allowance release: the company increased its GAAP valuation allowance to $270.3 million at 31 December 2025 from $168.3 million a year earlier, and states it maintains a full allowance on federal and state deferred tax assets. Excess tax benefits arise when shares vest above their grant-date value, so a substantial part of reported GAAP earnings is a function of the share price rather than of operations. Guidance assumes a 4% GAAP and 12% non-GAAP tax rate for Q3 2026 against a 21% statutory federal rate.</w:t>
      </w:r>
    </w:p>
    <w:p>
      <w:pPr>
        <w:pStyle w:val="Heading2"/>
        <w:spacing w:after="180" w:before="180"/>
      </w:pPr>
      <w:r>
        <w:rPr>
          <w:rFonts w:ascii="Arial" w:cs="Arial" w:eastAsia="Arial" w:hAnsi="Arial"/>
          <w:b/>
          <w:bCs/>
          <w:color w:val="1F3864"/>
          <w:sz w:val="28"/>
          <w:szCs w:val="28"/>
        </w:rPr>
        <w:t xml:space="preserve">Cash, and where it has gone</w:t>
      </w:r>
    </w:p>
    <w:p>
      <w:pPr>
        <w:spacing w:after="140" w:line="276"/>
        <w:jc w:val="left"/>
      </w:pPr>
      <w:r>
        <w:rPr>
          <w:rFonts w:ascii="Arial" w:cs="Arial" w:eastAsia="Arial" w:hAnsi="Arial"/>
          <w:sz w:val="22"/>
          <w:szCs w:val="22"/>
        </w:rPr>
        <w:t xml:space="preserve">The business converts. Operating cash flow was $319.3 million in FY2025 against $37.5 million of capital expenditure, and $162.3 million in the first half of 2026. Across FY2024 and FY2025 combined, cumulative operating cash flow of $456.0 million compares with cumulative GAAP net income of $135.7 million — but that 3.4-times ratio is an artefact of adding back $394.6 million of non-cash stock compensation. Measured against non-GAAP net income of $474.3 million for the same two years, cash conversion was 0.96 times. Cash tracks the non-GAAP profit closely, which is the honest reading: the company earns roughly what it says it earns on a non-GAAP basis, and the difference between that and GAAP is real dilution rather than an accounting artefact.</w:t>
      </w:r>
    </w:p>
    <w:p>
      <w:pPr>
        <w:spacing w:after="140" w:line="276"/>
        <w:jc w:val="left"/>
      </w:pPr>
      <w:r>
        <w:rPr>
          <w:rFonts w:ascii="Arial" w:cs="Arial" w:eastAsia="Arial" w:hAnsi="Arial"/>
          <w:sz w:val="22"/>
          <w:szCs w:val="22"/>
        </w:rPr>
        <w:t xml:space="preserve">Cash and marketable securities stood at $1,253.0 million at 30 June 2026 against zero debt in every period reviewed. Ranked by size across FY2024 and FY2025 combined, cash went to: capital expenditure $71.8 million; acquisitions net of cash acquired $28.8 million; taxes withheld on net share settlement of equity awards $20.1 million. There were no dividends, no buybacks and no debt repayment. What that ranking reveals is a management team that has done almost nothing with its cash — the balance has grown because operations generated more than the business consumed, not because capital was deliberately deployed. For a company at this stage that is a defensible posture rather than a criticism, but it means capital allocation has not yet been tested and there is no track record to assess.</w:t>
      </w:r>
    </w:p>
    <w:p>
      <w:pPr>
        <w:spacing w:after="140" w:line="276"/>
        <w:jc w:val="left"/>
      </w:pPr>
      <w:r>
        <w:rPr>
          <w:rFonts w:ascii="Arial" w:cs="Arial" w:eastAsia="Arial" w:hAnsi="Arial"/>
          <w:sz w:val="22"/>
          <w:szCs w:val="22"/>
        </w:rPr>
        <w:t xml:space="preserve">One governance item belongs here. Two material weaknesses in internal control — an inadequate risk-assessment process and ineffective IT general controls — were identified as of 31 December 2024 and reported remediated as of 31 December 2025, with the auditor flagging the aiXscale acquisition accounting as a critical audit matter and noting that a material weakness existed during the year. The company also replaced its CFO in the same window: Michael Tate retired effective 2 March 2026 with no disagreement disclosed, succeeded by Desmond Lynch, previously CFO of Rambus. A newly created Chief Accounting Officer role was filled on 20 January 2026.</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pStyle w:val="Heading2"/>
        <w:spacing w:after="180" w:before="180"/>
      </w:pPr>
      <w:r>
        <w:rPr>
          <w:rFonts w:ascii="Arial" w:cs="Arial" w:eastAsia="Arial" w:hAnsi="Arial"/>
          <w:b/>
          <w:bCs/>
          <w:color w:val="1F3864"/>
          <w:sz w:val="28"/>
          <w:szCs w:val="28"/>
        </w:rPr>
        <w:t xml:space="preserve">End-market exposure, and why the geography table misleads</w:t>
      </w:r>
    </w:p>
    <w:p>
      <w:pPr>
        <w:spacing w:after="140" w:line="276"/>
        <w:jc w:val="left"/>
      </w:pPr>
      <w:r>
        <w:rPr>
          <w:rFonts w:ascii="Arial" w:cs="Arial" w:eastAsia="Arial" w:hAnsi="Arial"/>
          <w:sz w:val="22"/>
          <w:szCs w:val="22"/>
        </w:rPr>
        <w:t xml:space="preserve">Revenue by geography looks like a China and Taiwan concentration risk. It is mostly not one. The 10-K is explicit: "Revenue by location is determined by the billing address of the Company’s customers, which includes the Company’s end customers’ manufacturing partners and the Company’s distributors." These are contract-manufacturing addresses, not end markets.</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1600"/>
        <w:gridCol w:w="1600"/>
        <w:gridCol w:w="1600"/>
        <w:gridCol w:w="2700"/>
      </w:tblGrid>
      <w:tr>
        <w:trPr>
          <w:tblHeader/>
        </w:trPr>
        <w:tc>
          <w:tcPr>
            <w:tcW w:type="dxa" w:w="19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Billing location</w:t>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FY2023</w:t>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FY2024</w:t>
            </w:r>
          </w:p>
        </w:tc>
        <w:tc>
          <w:tcPr>
            <w:tcW w:type="dxa" w:w="16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FY2025</w:t>
            </w:r>
          </w:p>
        </w:tc>
        <w:tc>
          <w:tcPr>
            <w:tcW w:type="dxa" w:w="27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 of FY2025</w:t>
            </w:r>
          </w:p>
        </w:tc>
      </w:tr>
      <w:tr>
        <w:tc>
          <w:tcPr>
            <w:tcW w:type="dxa" w:w="1900"/>
            <w:tcMar>
              <w:top w:type="dxa" w:w="80"/>
              <w:left w:type="dxa" w:w="120"/>
              <w:bottom w:type="dxa" w:w="80"/>
              <w:right w:type="dxa" w:w="120"/>
            </w:tcMar>
          </w:tcPr>
          <w:p>
            <w:pPr>
              <w:spacing w:after="0" w:line="260"/>
              <w:jc w:val="left"/>
            </w:pPr>
            <w:r>
              <w:rPr>
                <w:rFonts w:ascii="Arial" w:cs="Arial" w:eastAsia="Arial" w:hAnsi="Arial"/>
                <w:sz w:val="20"/>
                <w:szCs w:val="20"/>
              </w:rPr>
              <w:t xml:space="preserve">Singapore</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29.1</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277.0</w:t>
            </w:r>
          </w:p>
        </w:tc>
        <w:tc>
          <w:tcPr>
            <w:tcW w:type="dxa" w:w="2700"/>
            <w:tcMar>
              <w:top w:type="dxa" w:w="80"/>
              <w:left w:type="dxa" w:w="120"/>
              <w:bottom w:type="dxa" w:w="80"/>
              <w:right w:type="dxa" w:w="120"/>
            </w:tcMar>
          </w:tcPr>
          <w:p>
            <w:pPr>
              <w:spacing w:after="0" w:line="260"/>
              <w:jc w:val="right"/>
            </w:pPr>
            <w:r>
              <w:rPr>
                <w:rFonts w:ascii="Arial" w:cs="Arial" w:eastAsia="Arial" w:hAnsi="Arial"/>
                <w:sz w:val="20"/>
                <w:szCs w:val="20"/>
              </w:rPr>
              <w:t xml:space="preserve">32.5%</w:t>
            </w:r>
          </w:p>
        </w:tc>
      </w:tr>
      <w:tr>
        <w:tc>
          <w:tcPr>
            <w:tcW w:type="dxa" w:w="1900"/>
            <w:tcMar>
              <w:top w:type="dxa" w:w="80"/>
              <w:left w:type="dxa" w:w="120"/>
              <w:bottom w:type="dxa" w:w="80"/>
              <w:right w:type="dxa" w:w="120"/>
            </w:tcMar>
          </w:tcPr>
          <w:p>
            <w:pPr>
              <w:spacing w:after="0" w:line="260"/>
              <w:jc w:val="left"/>
            </w:pPr>
            <w:r>
              <w:rPr>
                <w:rFonts w:ascii="Arial" w:cs="Arial" w:eastAsia="Arial" w:hAnsi="Arial"/>
                <w:sz w:val="20"/>
                <w:szCs w:val="20"/>
              </w:rPr>
              <w:t xml:space="preserve">China</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5.5</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72.7</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256.3</w:t>
            </w:r>
          </w:p>
        </w:tc>
        <w:tc>
          <w:tcPr>
            <w:tcW w:type="dxa" w:w="2700"/>
            <w:tcMar>
              <w:top w:type="dxa" w:w="80"/>
              <w:left w:type="dxa" w:w="120"/>
              <w:bottom w:type="dxa" w:w="80"/>
              <w:right w:type="dxa" w:w="120"/>
            </w:tcMar>
          </w:tcPr>
          <w:p>
            <w:pPr>
              <w:spacing w:after="0" w:line="260"/>
              <w:jc w:val="right"/>
            </w:pPr>
            <w:r>
              <w:rPr>
                <w:rFonts w:ascii="Arial" w:cs="Arial" w:eastAsia="Arial" w:hAnsi="Arial"/>
                <w:sz w:val="20"/>
                <w:szCs w:val="20"/>
              </w:rPr>
              <w:t xml:space="preserve">30.1%</w:t>
            </w:r>
          </w:p>
        </w:tc>
      </w:tr>
      <w:tr>
        <w:tc>
          <w:tcPr>
            <w:tcW w:type="dxa" w:w="1900"/>
            <w:tcMar>
              <w:top w:type="dxa" w:w="80"/>
              <w:left w:type="dxa" w:w="120"/>
              <w:bottom w:type="dxa" w:w="80"/>
              <w:right w:type="dxa" w:w="120"/>
            </w:tcMar>
          </w:tcPr>
          <w:p>
            <w:pPr>
              <w:spacing w:after="0" w:line="260"/>
              <w:jc w:val="left"/>
            </w:pPr>
            <w:r>
              <w:rPr>
                <w:rFonts w:ascii="Arial" w:cs="Arial" w:eastAsia="Arial" w:hAnsi="Arial"/>
                <w:sz w:val="20"/>
                <w:szCs w:val="20"/>
              </w:rPr>
              <w:t xml:space="preserve">Taiwan</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72.2</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269.9</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247.4</w:t>
            </w:r>
          </w:p>
        </w:tc>
        <w:tc>
          <w:tcPr>
            <w:tcW w:type="dxa" w:w="2700"/>
            <w:tcMar>
              <w:top w:type="dxa" w:w="80"/>
              <w:left w:type="dxa" w:w="120"/>
              <w:bottom w:type="dxa" w:w="80"/>
              <w:right w:type="dxa" w:w="120"/>
            </w:tcMar>
          </w:tcPr>
          <w:p>
            <w:pPr>
              <w:spacing w:after="0" w:line="260"/>
              <w:jc w:val="right"/>
            </w:pPr>
            <w:r>
              <w:rPr>
                <w:rFonts w:ascii="Arial" w:cs="Arial" w:eastAsia="Arial" w:hAnsi="Arial"/>
                <w:sz w:val="20"/>
                <w:szCs w:val="20"/>
              </w:rPr>
              <w:t xml:space="preserve">29.0%</w:t>
            </w:r>
          </w:p>
        </w:tc>
      </w:tr>
      <w:tr>
        <w:tc>
          <w:tcPr>
            <w:tcW w:type="dxa" w:w="1900"/>
            <w:tcMar>
              <w:top w:type="dxa" w:w="80"/>
              <w:left w:type="dxa" w:w="120"/>
              <w:bottom w:type="dxa" w:w="80"/>
              <w:right w:type="dxa" w:w="120"/>
            </w:tcMar>
          </w:tcPr>
          <w:p>
            <w:pPr>
              <w:spacing w:after="0" w:line="260"/>
              <w:jc w:val="left"/>
            </w:pPr>
            <w:r>
              <w:rPr>
                <w:rFonts w:ascii="Arial" w:cs="Arial" w:eastAsia="Arial" w:hAnsi="Arial"/>
                <w:sz w:val="20"/>
                <w:szCs w:val="20"/>
              </w:rPr>
              <w:t xml:space="preserve">United States</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30.7</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11.3</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27.4</w:t>
            </w:r>
          </w:p>
        </w:tc>
        <w:tc>
          <w:tcPr>
            <w:tcW w:type="dxa" w:w="2700"/>
            <w:tcMar>
              <w:top w:type="dxa" w:w="80"/>
              <w:left w:type="dxa" w:w="120"/>
              <w:bottom w:type="dxa" w:w="80"/>
              <w:right w:type="dxa" w:w="120"/>
            </w:tcMar>
          </w:tcPr>
          <w:p>
            <w:pPr>
              <w:spacing w:after="0" w:line="260"/>
              <w:jc w:val="right"/>
            </w:pPr>
            <w:r>
              <w:rPr>
                <w:rFonts w:ascii="Arial" w:cs="Arial" w:eastAsia="Arial" w:hAnsi="Arial"/>
                <w:sz w:val="20"/>
                <w:szCs w:val="20"/>
              </w:rPr>
              <w:t xml:space="preserve">3.2%</w:t>
            </w:r>
          </w:p>
        </w:tc>
      </w:tr>
      <w:tr>
        <w:tc>
          <w:tcPr>
            <w:tcW w:type="dxa" w:w="1900"/>
            <w:tcMar>
              <w:top w:type="dxa" w:w="80"/>
              <w:left w:type="dxa" w:w="120"/>
              <w:bottom w:type="dxa" w:w="80"/>
              <w:right w:type="dxa" w:w="120"/>
            </w:tcMar>
          </w:tcPr>
          <w:p>
            <w:pPr>
              <w:spacing w:after="0" w:line="260"/>
              <w:jc w:val="left"/>
            </w:pPr>
            <w:r>
              <w:rPr>
                <w:rFonts w:ascii="Arial" w:cs="Arial" w:eastAsia="Arial" w:hAnsi="Arial"/>
                <w:sz w:val="20"/>
                <w:szCs w:val="20"/>
              </w:rPr>
              <w:t xml:space="preserve">Other</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7.4</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13.3</w:t>
            </w:r>
          </w:p>
        </w:tc>
        <w:tc>
          <w:tcPr>
            <w:tcW w:type="dxa" w:w="1600"/>
            <w:tcMar>
              <w:top w:type="dxa" w:w="80"/>
              <w:left w:type="dxa" w:w="120"/>
              <w:bottom w:type="dxa" w:w="80"/>
              <w:right w:type="dxa" w:w="120"/>
            </w:tcMar>
          </w:tcPr>
          <w:p>
            <w:pPr>
              <w:spacing w:after="0" w:line="260"/>
              <w:jc w:val="right"/>
            </w:pPr>
            <w:r>
              <w:rPr>
                <w:rFonts w:ascii="Arial" w:cs="Arial" w:eastAsia="Arial" w:hAnsi="Arial"/>
                <w:sz w:val="20"/>
                <w:szCs w:val="20"/>
              </w:rPr>
              <w:t xml:space="preserve">44.4</w:t>
            </w:r>
          </w:p>
        </w:tc>
        <w:tc>
          <w:tcPr>
            <w:tcW w:type="dxa" w:w="2700"/>
            <w:tcMar>
              <w:top w:type="dxa" w:w="80"/>
              <w:left w:type="dxa" w:w="120"/>
              <w:bottom w:type="dxa" w:w="80"/>
              <w:right w:type="dxa" w:w="120"/>
            </w:tcMar>
          </w:tcPr>
          <w:p>
            <w:pPr>
              <w:spacing w:after="0" w:line="260"/>
              <w:jc w:val="right"/>
            </w:pPr>
            <w:r>
              <w:rPr>
                <w:rFonts w:ascii="Arial" w:cs="Arial" w:eastAsia="Arial" w:hAnsi="Arial"/>
                <w:sz w:val="20"/>
                <w:szCs w:val="20"/>
              </w:rPr>
              <w:t xml:space="preserve">5.2%</w:t>
            </w:r>
          </w:p>
        </w:tc>
      </w:tr>
    </w:tbl>
    <w:p>
      <w:pPr>
        <w:spacing w:after="120" w:line="276"/>
        <w:jc w:val="left"/>
      </w:pPr>
      <w:r>
        <w:rPr>
          <w:rFonts w:ascii="Arial" w:cs="Arial" w:eastAsia="Arial" w:hAnsi="Arial"/>
          <w:sz w:val="22"/>
          <w:szCs w:val="22"/>
        </w:rPr>
        <w:t xml:space="preserve"/>
      </w:r>
    </w:p>
    <w:p>
      <w:pPr>
        <w:spacing w:after="200" w:line="276"/>
        <w:jc w:val="left"/>
      </w:pPr>
      <w:r>
        <w:rPr>
          <w:rFonts w:ascii="Arial" w:cs="Arial" w:eastAsia="Arial" w:hAnsi="Arial"/>
          <w:sz w:val="18"/>
          <w:szCs w:val="18"/>
        </w:rPr>
        <w:t xml:space="preserve">Source: FY2025 Form 10-K, revenue disaggregation note. Figures in $ millions. Percentages calculated.</w:t>
      </w:r>
    </w:p>
    <w:p>
      <w:pPr>
        <w:spacing w:after="140" w:line="276"/>
        <w:jc w:val="left"/>
      </w:pPr>
      <w:r>
        <w:rPr>
          <w:rFonts w:ascii="Arial" w:cs="Arial" w:eastAsia="Arial" w:hAnsi="Arial"/>
          <w:sz w:val="22"/>
          <w:szCs w:val="22"/>
        </w:rPr>
        <w:t xml:space="preserve">Singapore, China and Taiwan together took 91.6% of FY2025 revenue by billing address, and the shift of $248 million into Singapore in a single year reflects ODM assembly moving, not demand moving. That said, the China line is not entirely benign. The 10-K describes a genuine commercial effect from export controls: concerns that United States companies "may not be reliable suppliers" have "caused some of our customers in China to amass large inventories of our products well in advance of need or caused some of our customers to replace our products in favor of products from other suppliers." Both halves of that sentence are damaging — the first pulls demand forward into a future air pocket, the second is permanent share loss.</w:t>
      </w:r>
    </w:p>
    <w:p>
      <w:pPr>
        <w:pStyle w:val="Heading2"/>
        <w:spacing w:after="180" w:before="180"/>
      </w:pPr>
      <w:r>
        <w:rPr>
          <w:rFonts w:ascii="Arial" w:cs="Arial" w:eastAsia="Arial" w:hAnsi="Arial"/>
          <w:b/>
          <w:bCs/>
          <w:color w:val="1F3864"/>
          <w:sz w:val="28"/>
          <w:szCs w:val="28"/>
        </w:rPr>
        <w:t xml:space="preserve">Where the business sits in its own cycle</w:t>
      </w:r>
    </w:p>
    <w:p>
      <w:pPr>
        <w:spacing w:after="140" w:line="276"/>
        <w:jc w:val="left"/>
      </w:pPr>
      <w:r>
        <w:rPr>
          <w:rFonts w:ascii="Arial" w:cs="Arial" w:eastAsia="Arial" w:hAnsi="Arial"/>
          <w:sz w:val="22"/>
          <w:szCs w:val="22"/>
        </w:rPr>
        <w:t xml:space="preserve">On volume and revenue, at its own record and accelerating: $392.4 million in Q2 2026 was the highest quarter in the company’s history, 104% above the prior year, and guidance calls for roughly 40% more in Q3. On gross margin, at its post-IPO low: 73.3% against a peak of 77.9% in Q2 2024, guided to about 72%. On operating margin, near its high: 22.7% GAAP and 39.1% non-GAAP in Q2 2026, because operating expenses are growing more slowly than revenue.</w:t>
      </w:r>
    </w:p>
    <w:p>
      <w:pPr>
        <w:spacing w:after="140" w:line="276"/>
        <w:jc w:val="left"/>
      </w:pPr>
      <w:r>
        <w:rPr>
          <w:rFonts w:ascii="Arial" w:cs="Arial" w:eastAsia="Arial" w:hAnsi="Arial"/>
          <w:sz w:val="22"/>
          <w:szCs w:val="22"/>
        </w:rPr>
        <w:t xml:space="preserve">These are not contradictory readings, but they must be held together. Record volume with compressing gross margin and expanding operating margin describes a company scaling a mix shift successfully. The same three facts at a cycle top would describe a company whose pricing had begun to erode while fixed-cost absorption temporarily flattered the operating line. The evidence in the filings supports the first reading — the margin decline is attributed to mix and warrants, not to price — but the distinction is only visible with the mix commentary, and it is the thing to keep testing.</w:t>
      </w:r>
    </w:p>
    <w:p>
      <w:pPr>
        <w:spacing w:after="140" w:line="276"/>
        <w:jc w:val="left"/>
      </w:pPr>
      <w:r>
        <w:rPr>
          <w:rFonts w:ascii="Arial" w:cs="Arial" w:eastAsia="Arial" w:hAnsi="Arial"/>
          <w:sz w:val="22"/>
          <w:szCs w:val="22"/>
        </w:rPr>
        <w:t xml:space="preserve">Cyclicality is high and structurally unbuffered. There is no backlog, no take-or-pay, no contracted minimum and no recurring revenue. The 10-K describes ordinary purchase orders that fix price, quantity and delivery, cancellable outside limited notice periods. Revenue is a direct derivative of capital-equipment deployment at a handful of buyers. In a downturn the mechanism is not gradual: orders stop, the inventory and purchase commitments built for the ramp remain, and the fixed cost base of 756 employees — up 72% in one year — stays in place. The industry has no long-run price history in this specific segment that this research could establish (see Section 7), so how interface-semiconductor pricing behaves when volume collapses remains unresolved.</w:t>
      </w:r>
    </w:p>
    <w:p>
      <w:pPr>
        <w:pStyle w:val="Heading2"/>
        <w:spacing w:after="180" w:before="180"/>
      </w:pPr>
      <w:r>
        <w:rPr>
          <w:rFonts w:ascii="Arial" w:cs="Arial" w:eastAsia="Arial" w:hAnsi="Arial"/>
          <w:b/>
          <w:bCs/>
          <w:color w:val="1F3864"/>
          <w:sz w:val="28"/>
          <w:szCs w:val="28"/>
        </w:rPr>
        <w:t xml:space="preserve">Durable versus borrowed</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4700"/>
        <w:gridCol w:w="4700"/>
      </w:tblGrid>
      <w:tr>
        <w:trPr>
          <w:tblHeader/>
        </w:trPr>
        <w:tc>
          <w:tcPr>
            <w:tcW w:type="dxa" w:w="47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Durable — likely to survive ten years</w:t>
            </w:r>
          </w:p>
        </w:tc>
        <w:tc>
          <w:tcPr>
            <w:tcW w:type="dxa" w:w="47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Borrowed — currently helping, not guaranteed</w:t>
            </w:r>
          </w:p>
        </w:tc>
      </w:tr>
      <w:tr>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Qualified silicon at each generation, with a design-win-to-volume lag of up to two years that holds a socket for the platform’s life</w:t>
            </w:r>
          </w:p>
        </w:tc>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Hyperscaler capital spending at unprecedented and still-rising levels, with no disclosed digestion as of mid-2026</w:t>
            </w:r>
          </w:p>
        </w:tc>
      </w:tr>
      <w:tr>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Seats in PCI-SIG, CXL, UALink and NVLink Fusion simultaneously, so the company need not pick the winning fabric</w:t>
            </w:r>
          </w:p>
        </w:tc>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A negative effective tax rate driven by excess stock-compensation tax benefits, which requires a rising share price to persist</w:t>
            </w:r>
          </w:p>
        </w:tc>
      </w:tr>
      <w:tr>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COSMOS fleet telemetry embedded in customer operations rather than only in the bill of materials</w:t>
            </w:r>
          </w:p>
        </w:tc>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Gross margin above 73% before the module and switch mix shift has fully landed</w:t>
            </w:r>
          </w:p>
        </w:tc>
      </w:tr>
      <w:tr>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Scarcity of high-rate SerDes analogue design talent, evidenced by Qualcomm buying Alphawave rather than building</w:t>
            </w:r>
          </w:p>
        </w:tc>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The Amazon relationship, supported by a warrant whose $6.5 billion purchase framework is a framework, not an order book</w:t>
            </w:r>
          </w:p>
        </w:tc>
      </w:tr>
      <w:tr>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$1.25 billion of cash, no debt, and a business that funds its own growth from operations</w:t>
            </w:r>
          </w:p>
        </w:tc>
        <w:tc>
          <w:tcPr>
            <w:tcW w:type="dxa" w:w="4700"/>
            <w:tcMar>
              <w:top w:type="dxa" w:w="80"/>
              <w:left w:type="dxa" w:w="120"/>
              <w:bottom w:type="dxa" w:w="80"/>
              <w:right w:type="dxa" w:w="120"/>
            </w:tcMar>
          </w:tcPr>
          <w:p>
            <w:pPr>
              <w:spacing w:after="0" w:line="260"/>
              <w:jc w:val="left"/>
            </w:pPr>
            <w:r>
              <w:rPr>
                <w:rFonts w:ascii="Arial" w:cs="Arial" w:eastAsia="Arial" w:hAnsi="Arial"/>
                <w:sz w:val="20"/>
                <w:szCs w:val="20"/>
              </w:rPr>
              <w:t xml:space="preserve">The absence of any hyperscaler in-house retimer programme, which is an observation about today rather than a barrier</w:t>
            </w:r>
          </w:p>
        </w:tc>
      </w:tr>
    </w:tbl>
    <w:p>
      <w:pPr>
        <w:spacing w:after="200" w:line="276"/>
        <w:jc w:val="left"/>
      </w:pPr>
      <w:r>
        <w:rPr>
          <w:rFonts w:ascii="Arial" w:cs="Arial" w:eastAsia="Arial" w:hAnsi="Arial"/>
          <w:sz w:val="22"/>
          <w:szCs w:val="22"/>
        </w:rPr>
        <w:t xml:space="preserve"/>
      </w:r>
    </w:p>
    <w:p>
      <w:pPr>
        <w:pStyle w:val="Heading2"/>
        <w:spacing w:after="180" w:before="180"/>
      </w:pPr>
      <w:r>
        <w:rPr>
          <w:rFonts w:ascii="Arial" w:cs="Arial" w:eastAsia="Arial" w:hAnsi="Arial"/>
          <w:b/>
          <w:bCs/>
          <w:color w:val="1F3864"/>
          <w:sz w:val="28"/>
          <w:szCs w:val="28"/>
        </w:rPr>
        <w:t xml:space="preserve">What to monitor</w:t>
      </w:r>
    </w:p>
    <w:tbl>
      <w:tblPr>
        <w:tblW w:type="dxa" w:w="9400"/>
        <w:tblBorders>
          <w:top w:val="single" w:color="BFBFBF" w:sz="4"/>
          <w:left w:val="single" w:color="BFBFBF" w:sz="4"/>
          <w:bottom w:val="single" w:color="BFBFBF" w:sz="4"/>
          <w:right w:val="single" w:color="BFBFBF" w:sz="4"/>
          <w:insideH w:val="single" w:color="BFBFBF" w:sz="2"/>
          <w:insideV w:val="single" w:color="BFBFBF" w:sz="2"/>
        </w:tblBorders>
      </w:tblPr>
      <w:tblGrid>
        <w:gridCol w:w="3400"/>
        <w:gridCol w:w="2600"/>
        <w:gridCol w:w="3400"/>
      </w:tblGrid>
      <w:tr>
        <w:trPr>
          <w:tblHeader/>
        </w:trPr>
        <w:tc>
          <w:tcPr>
            <w:tcW w:type="dxa" w:w="34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Indicator</w:t>
            </w:r>
          </w:p>
        </w:tc>
        <w:tc>
          <w:tcPr>
            <w:tcW w:type="dxa" w:w="26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Why it matters</w:t>
            </w:r>
          </w:p>
        </w:tc>
        <w:tc>
          <w:tcPr>
            <w:tcW w:type="dxa" w:w="34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Where published</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Hyperscaler capital expenditure and its direction</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The volume driver Astera does not control</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Microsoft, Alphabet, Amazon and Meta quarterly releases and 10-Qs</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Gross margin against the mix commentary</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Separates deliberate mix shift from price erosion</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Astera quarterly release and 10-Q MD&amp;A</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The quarterly warrant charge against revenue</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Scales with the largest customer’s ramp and depresses reported growth</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Astera 10-Q, warrant note</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Number of customers above 10%, and the top-three end-customer share</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The only public measure of concentration easing</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Astera 10-K concentration note and business section</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Inventory and receivables against guided revenue</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Builds ahead of demand become write-downs if demand pauses</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Astera 10-Q balance sheet</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Purchase commitments to manufacturing partners</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Management’s own forward volume view, in dollars</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Astera 10-K and 10-Q commitments note</w:t>
            </w:r>
          </w:p>
        </w:tc>
      </w:tr>
      <w:t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PCIe Gen6/Gen7 and UALink silicon availability</w:t>
            </w:r>
          </w:p>
        </w:tc>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Determines when the next content step arrives</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PCI-SIG and UALink Consortium announcements</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76"/>
        <w:jc w:val="left"/>
      </w:pPr>
      <w:r>
        <w:rPr>
          <w:rFonts w:ascii="Arial" w:cs="Arial" w:eastAsia="Arial" w:hAnsi="Arial"/>
          <w:sz w:val="22"/>
          <w:szCs w:val="22"/>
        </w:rPr>
        <w:t xml:space="preserve">Cyclicality is covered in Section 6 and is not repeated here. What follows is what cyclicality does not capture, with the transmission mechanism in each case.</w:t>
      </w:r>
    </w:p>
    <w:p>
      <w:pPr>
        <w:pStyle w:val="Heading2"/>
        <w:spacing w:after="180" w:before="180"/>
      </w:pPr>
      <w:r>
        <w:rPr>
          <w:rFonts w:ascii="Arial" w:cs="Arial" w:eastAsia="Arial" w:hAnsi="Arial"/>
          <w:b/>
          <w:bCs/>
          <w:color w:val="1F3864"/>
          <w:sz w:val="28"/>
          <w:szCs w:val="28"/>
        </w:rPr>
        <w:t xml:space="preserve">Risks with a specific mechanism</w:t>
      </w:r>
    </w:p>
    <w:p>
      <w:pPr>
        <w:pStyle w:val="ListParagraph"/>
        <w:numPr>
          <w:ilvl w:val="0"/>
          <w:numId w:val="2"/>
        </w:numPr>
        <w:spacing w:after="100" w:line="276"/>
      </w:pPr>
      <w:r>
        <w:rPr>
          <w:rFonts w:ascii="Arial" w:cs="Arial" w:eastAsia="Arial" w:hAnsi="Arial"/>
          <w:b/>
          <w:bCs/>
          <w:sz w:val="22"/>
          <w:szCs w:val="22"/>
        </w:rPr>
        <w:t xml:space="preserve">The three end customers who provide 86% of revenue are the parties best equipped to replace the company. </w:t>
      </w:r>
      <w:r>
        <w:rPr>
          <w:rFonts w:ascii="Arial" w:cs="Arial" w:eastAsia="Arial" w:hAnsi="Arial"/>
          <w:sz w:val="22"/>
          <w:szCs w:val="22"/>
        </w:rPr>
        <w:t xml:space="preserve">Hyperscalers already design their own accelerators and network cards. The 10-K concedes the mechanism directly: end customers "may develop their own products that may compete with our solutions, or adopt a competitor’s solution for products that they currently buy from us." Retimers have so far been unattractive to in-source because the revenue per part is small relative to the design difficulty — but Astera’s own growth is steadily raising the dollars a hyperscaler spends on this content, which is precisely what makes an in-house programme worth funding. Success here erodes the reason the company has been left alone.</w:t>
      </w:r>
    </w:p>
    <w:p>
      <w:pPr>
        <w:pStyle w:val="ListParagraph"/>
        <w:numPr>
          <w:ilvl w:val="0"/>
          <w:numId w:val="2"/>
        </w:numPr>
        <w:spacing w:after="100" w:line="276"/>
      </w:pPr>
      <w:r>
        <w:rPr>
          <w:rFonts w:ascii="Arial" w:cs="Arial" w:eastAsia="Arial" w:hAnsi="Arial"/>
          <w:b/>
          <w:bCs/>
          <w:sz w:val="22"/>
          <w:szCs w:val="22"/>
        </w:rPr>
        <w:t xml:space="preserve">The largest customer is simultaneously a warrant-holder whose incentive is priced at $142.82. </w:t>
      </w:r>
      <w:r>
        <w:rPr>
          <w:rFonts w:ascii="Arial" w:cs="Arial" w:eastAsia="Arial" w:hAnsi="Arial"/>
          <w:sz w:val="22"/>
          <w:szCs w:val="22"/>
        </w:rPr>
        <w:t xml:space="preserve">Amazon holds warrants over 3,262,299 shares vesting against up to $6.5 billion of purchases through 2033, plus 2.3 million older shares struck at $20.34. This aligns the relationship, and it also means the single most important commercial relationship is partly held together by an equity instrument whose vesting thresholds are redacted from public filings. If purchases fall short of the tranche breakpoints, unvested warrants simply do not vest — no cash is lost — but an investor cannot see how close the relationship is running to those thresholds, and cannot distinguish a demand shortfall from a timing shift.</w:t>
      </w:r>
    </w:p>
    <w:p>
      <w:pPr>
        <w:pStyle w:val="ListParagraph"/>
        <w:numPr>
          <w:ilvl w:val="0"/>
          <w:numId w:val="2"/>
        </w:numPr>
        <w:spacing w:after="100" w:line="276"/>
      </w:pPr>
      <w:r>
        <w:rPr>
          <w:rFonts w:ascii="Arial" w:cs="Arial" w:eastAsia="Arial" w:hAnsi="Arial"/>
          <w:b/>
          <w:bCs/>
          <w:sz w:val="22"/>
          <w:szCs w:val="22"/>
        </w:rPr>
        <w:t xml:space="preserve">GAAP earnings are levered to the share price through the tax line. </w:t>
      </w:r>
      <w:r>
        <w:rPr>
          <w:rFonts w:ascii="Arial" w:cs="Arial" w:eastAsia="Arial" w:hAnsi="Arial"/>
          <w:sz w:val="22"/>
          <w:szCs w:val="22"/>
        </w:rPr>
        <w:t xml:space="preserve">A full valuation allowance of $270.3 million is maintained on federal and state deferred tax assets, while the effective tax rate is negative because excess tax benefits on vesting stock exceed the tax otherwise payable. Those benefits arise from shares vesting above grant-date value. A sustained fall in the share price shrinks them, raising the effective tax rate toward statutory and cutting GAAP net income with no change whatsoever in the operating business. The mechanism runs the wrong way at exactly the wrong time.</w:t>
      </w:r>
    </w:p>
    <w:p>
      <w:pPr>
        <w:pStyle w:val="ListParagraph"/>
        <w:numPr>
          <w:ilvl w:val="0"/>
          <w:numId w:val="2"/>
        </w:numPr>
        <w:spacing w:after="100" w:line="276"/>
      </w:pPr>
      <w:r>
        <w:rPr>
          <w:rFonts w:ascii="Arial" w:cs="Arial" w:eastAsia="Arial" w:hAnsi="Arial"/>
          <w:b/>
          <w:bCs/>
          <w:sz w:val="22"/>
          <w:szCs w:val="22"/>
        </w:rPr>
        <w:t xml:space="preserve">A single foundry in Taiwan makes every chip. </w:t>
      </w:r>
      <w:r>
        <w:rPr>
          <w:rFonts w:ascii="Arial" w:cs="Arial" w:eastAsia="Arial" w:hAnsi="Arial"/>
          <w:sz w:val="22"/>
          <w:szCs w:val="22"/>
        </w:rPr>
        <w:t xml:space="preserve">TSMC fabricates all of the company’s integrated circuits, with no disclosed second source. The 10-K notes the fab’s proximity to major earthquake faults and states that alternate capacity may not be available "on favorable terms, if at all." Re-qualification at a new supplier restarts the customer qualification clock described in Section 3, so the recovery time from a supply disruption is measured in quarters, not weeks.</w:t>
      </w:r>
    </w:p>
    <w:p>
      <w:pPr>
        <w:pStyle w:val="ListParagraph"/>
        <w:numPr>
          <w:ilvl w:val="0"/>
          <w:numId w:val="2"/>
        </w:numPr>
        <w:spacing w:after="100" w:line="276"/>
      </w:pPr>
      <w:r>
        <w:rPr>
          <w:rFonts w:ascii="Arial" w:cs="Arial" w:eastAsia="Arial" w:hAnsi="Arial"/>
          <w:b/>
          <w:bCs/>
          <w:sz w:val="22"/>
          <w:szCs w:val="22"/>
        </w:rPr>
        <w:t xml:space="preserve">Broadcom competes at roughly fifty times the AI revenue scale and is moving into the same scale-up job. </w:t>
      </w:r>
      <w:r>
        <w:rPr>
          <w:rFonts w:ascii="Arial" w:cs="Arial" w:eastAsia="Arial" w:hAnsi="Arial"/>
          <w:sz w:val="22"/>
          <w:szCs w:val="22"/>
        </w:rPr>
        <w:t xml:space="preserve">Tomahawk Ultra targets Ethernet-based scale-up fabrics directly against Scorpio’s X-Series, and Broadcom’s 68% non-GAAP operating margin gives it room to price aggressively in an adjacent product to defend a much larger switch franchise. Astera’s newest and fastest-growing family is the one that runs into the largest competitor.</w:t>
      </w:r>
    </w:p>
    <w:p>
      <w:pPr>
        <w:pStyle w:val="ListParagraph"/>
        <w:numPr>
          <w:ilvl w:val="0"/>
          <w:numId w:val="2"/>
        </w:numPr>
        <w:spacing w:after="100" w:line="276"/>
      </w:pPr>
      <w:r>
        <w:rPr>
          <w:rFonts w:ascii="Arial" w:cs="Arial" w:eastAsia="Arial" w:hAnsi="Arial"/>
          <w:b/>
          <w:bCs/>
          <w:sz w:val="22"/>
          <w:szCs w:val="22"/>
        </w:rPr>
        <w:t xml:space="preserve">Co-packaged optics could eventually remove copper from the links being retimed. </w:t>
      </w:r>
      <w:r>
        <w:rPr>
          <w:rFonts w:ascii="Arial" w:cs="Arial" w:eastAsia="Arial" w:hAnsi="Arial"/>
          <w:sz w:val="22"/>
          <w:szCs w:val="22"/>
        </w:rPr>
        <w:t xml:space="preserve">NVIDIA announced Quantum-X and Spectrum-X Photonics co-packaged-optics switches on 18 March 2025. Adoption so far is at the network switch layer, not intra-rack, and the announcement makes no claim about replacing copper cables or PCIe retimers inside a rack. The aiXscale acquisition is the company’s hedge. The mechanism to watch is optics moving down from switch-to-switch links into accelerator-to-switch and then intra-rack links, which would compress the copper retiming and cable market from the top.</w:t>
      </w:r>
    </w:p>
    <w:p>
      <w:pPr>
        <w:pStyle w:val="ListParagraph"/>
        <w:numPr>
          <w:ilvl w:val="0"/>
          <w:numId w:val="2"/>
        </w:numPr>
        <w:spacing w:after="100" w:line="276"/>
      </w:pPr>
      <w:r>
        <w:rPr>
          <w:rFonts w:ascii="Arial" w:cs="Arial" w:eastAsia="Arial" w:hAnsi="Arial"/>
          <w:b/>
          <w:bCs/>
          <w:sz w:val="22"/>
          <w:szCs w:val="22"/>
        </w:rPr>
        <w:t xml:space="preserve">Control and accounting maturity lag the growth rate. </w:t>
      </w:r>
      <w:r>
        <w:rPr>
          <w:rFonts w:ascii="Arial" w:cs="Arial" w:eastAsia="Arial" w:hAnsi="Arial"/>
          <w:sz w:val="22"/>
          <w:szCs w:val="22"/>
        </w:rPr>
        <w:t xml:space="preserve">Two material weaknesses existed through 2024 and were remediated only during 2025, the auditor designated acquisition accounting a critical audit matter, and the company changed CFO and created a Chief Accounting Officer role within six weeks of each other in early 2026. Headcount rose 72% in a year. None of this is evidence of a problem today; all of it is the condition under which reporting problems historically appear.</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jc w:val="left"/>
      </w:pPr>
      <w:r>
        <w:rPr>
          <w:rFonts w:ascii="Arial" w:cs="Arial" w:eastAsia="Arial" w:hAnsi="Arial"/>
          <w:sz w:val="22"/>
          <w:szCs w:val="22"/>
        </w:rPr>
        <w:t xml:space="preserve">These are findings, not omissions. Each would need to be resolved before an investment case could be held with confidence.</w:t>
      </w:r>
    </w:p>
    <w:p>
      <w:pPr>
        <w:pStyle w:val="ListParagraph"/>
        <w:numPr>
          <w:ilvl w:val="0"/>
          <w:numId w:val="2"/>
        </w:numPr>
        <w:spacing w:after="100" w:line="276"/>
      </w:pPr>
      <w:r>
        <w:rPr>
          <w:rFonts w:ascii="Arial" w:cs="Arial" w:eastAsia="Arial" w:hAnsi="Arial"/>
          <w:b/>
          <w:bCs/>
          <w:sz w:val="22"/>
          <w:szCs w:val="22"/>
        </w:rPr>
        <w:t xml:space="preserve">Unit volumes and average selling prices are not disclosed for any product or period. </w:t>
      </w:r>
      <w:r>
        <w:rPr>
          <w:rFonts w:ascii="Arial" w:cs="Arial" w:eastAsia="Arial" w:hAnsi="Arial"/>
          <w:sz w:val="22"/>
          <w:szCs w:val="22"/>
        </w:rPr>
        <w:t xml:space="preserve">Volume and price growth therefore cannot be separated, and dollar content per accelerator — the number that determines how large this business can become — cannot be computed from any primary source.</w:t>
      </w:r>
    </w:p>
    <w:p>
      <w:pPr>
        <w:pStyle w:val="ListParagraph"/>
        <w:numPr>
          <w:ilvl w:val="0"/>
          <w:numId w:val="2"/>
        </w:numPr>
        <w:spacing w:after="100" w:line="276"/>
      </w:pPr>
      <w:r>
        <w:rPr>
          <w:rFonts w:ascii="Arial" w:cs="Arial" w:eastAsia="Arial" w:hAnsi="Arial"/>
          <w:b/>
          <w:bCs/>
          <w:sz w:val="22"/>
          <w:szCs w:val="22"/>
        </w:rPr>
        <w:t xml:space="preserve">Revenue is not split by product family. </w:t>
      </w:r>
      <w:r>
        <w:rPr>
          <w:rFonts w:ascii="Arial" w:cs="Arial" w:eastAsia="Arial" w:hAnsi="Arial"/>
          <w:sz w:val="22"/>
          <w:szCs w:val="22"/>
        </w:rPr>
        <w:t xml:space="preserve">Management’s statement that Scorpio will become the largest family in Q3 2026 cannot be verified against, or reconstructed from, any filing.</w:t>
      </w:r>
    </w:p>
    <w:p>
      <w:pPr>
        <w:pStyle w:val="ListParagraph"/>
        <w:numPr>
          <w:ilvl w:val="0"/>
          <w:numId w:val="2"/>
        </w:numPr>
        <w:spacing w:after="100" w:line="276"/>
      </w:pPr>
      <w:r>
        <w:rPr>
          <w:rFonts w:ascii="Arial" w:cs="Arial" w:eastAsia="Arial" w:hAnsi="Arial"/>
          <w:b/>
          <w:bCs/>
          <w:sz w:val="22"/>
          <w:szCs w:val="22"/>
        </w:rPr>
        <w:t xml:space="preserve">The warrant vesting breakpoints are redacted. </w:t>
      </w:r>
      <w:r>
        <w:rPr>
          <w:rFonts w:ascii="Arial" w:cs="Arial" w:eastAsia="Arial" w:hAnsi="Arial"/>
          <w:sz w:val="22"/>
          <w:szCs w:val="22"/>
        </w:rPr>
        <w:t xml:space="preserve">The path of the contra-revenue charge through 2033, and the pace at which the remaining 3.9 million unvested warrant shares dilute, cannot be modelled.</w:t>
      </w:r>
    </w:p>
    <w:p>
      <w:pPr>
        <w:pStyle w:val="ListParagraph"/>
        <w:numPr>
          <w:ilvl w:val="0"/>
          <w:numId w:val="2"/>
        </w:numPr>
        <w:spacing w:after="100" w:line="276"/>
      </w:pPr>
      <w:r>
        <w:rPr>
          <w:rFonts w:ascii="Arial" w:cs="Arial" w:eastAsia="Arial" w:hAnsi="Arial"/>
          <w:b/>
          <w:bCs/>
          <w:sz w:val="22"/>
          <w:szCs w:val="22"/>
        </w:rPr>
        <w:t xml:space="preserve">Whether connectivity content per accelerator rises or falls as scale-up migrates to NVLink and UALink is unestablished. </w:t>
      </w:r>
      <w:r>
        <w:rPr>
          <w:rFonts w:ascii="Arial" w:cs="Arial" w:eastAsia="Arial" w:hAnsi="Arial"/>
          <w:sz w:val="22"/>
          <w:szCs w:val="22"/>
        </w:rPr>
        <w:t xml:space="preserve">No consortium, competitor or company publishes a content figure. The directional argument in Section 3 is inference from rising lane counts, not evidence.</w:t>
      </w:r>
    </w:p>
    <w:p>
      <w:pPr>
        <w:pStyle w:val="ListParagraph"/>
        <w:numPr>
          <w:ilvl w:val="0"/>
          <w:numId w:val="2"/>
        </w:numPr>
        <w:spacing w:after="100" w:line="276"/>
      </w:pPr>
      <w:r>
        <w:rPr>
          <w:rFonts w:ascii="Arial" w:cs="Arial" w:eastAsia="Arial" w:hAnsi="Arial"/>
          <w:b/>
          <w:bCs/>
          <w:sz w:val="22"/>
          <w:szCs w:val="22"/>
        </w:rPr>
        <w:t xml:space="preserve">There is no long-run price history for interface semiconductors through a severe downturn. </w:t>
      </w:r>
      <w:r>
        <w:rPr>
          <w:rFonts w:ascii="Arial" w:cs="Arial" w:eastAsia="Arial" w:hAnsi="Arial"/>
          <w:sz w:val="22"/>
          <w:szCs w:val="22"/>
        </w:rPr>
        <w:t xml:space="preserve">Whether pricing held or collapsed when volumes fell in 2001, 2008 and 2022 could not be established from primary sources within this research. Answering it would require working through the historical filings of prior-generation interface vendors such as PMC-Sierra, IDT and Applied Micro.</w:t>
      </w:r>
    </w:p>
    <w:p>
      <w:pPr>
        <w:pStyle w:val="ListParagraph"/>
        <w:numPr>
          <w:ilvl w:val="0"/>
          <w:numId w:val="2"/>
        </w:numPr>
        <w:spacing w:after="100" w:line="276"/>
      </w:pPr>
      <w:r>
        <w:rPr>
          <w:rFonts w:ascii="Arial" w:cs="Arial" w:eastAsia="Arial" w:hAnsi="Arial"/>
          <w:b/>
          <w:bCs/>
          <w:sz w:val="22"/>
          <w:szCs w:val="22"/>
        </w:rPr>
        <w:t xml:space="preserve">No earnings-call transcripts are in the evidence base. </w:t>
      </w:r>
      <w:r>
        <w:rPr>
          <w:rFonts w:ascii="Arial" w:cs="Arial" w:eastAsia="Arial" w:hAnsi="Arial"/>
          <w:sz w:val="22"/>
          <w:szCs w:val="22"/>
        </w:rPr>
        <w:t xml:space="preserve">Management’s framing is available only through prepared releases and filings, so analyst pushback and the unscripted answers are absent.</w:t>
      </w:r>
    </w:p>
    <w:p>
      <w:pPr>
        <w:pStyle w:val="ListParagraph"/>
        <w:numPr>
          <w:ilvl w:val="0"/>
          <w:numId w:val="2"/>
        </w:numPr>
        <w:spacing w:after="100" w:line="276"/>
      </w:pPr>
      <w:r>
        <w:rPr>
          <w:rFonts w:ascii="Arial" w:cs="Arial" w:eastAsia="Arial" w:hAnsi="Arial"/>
          <w:b/>
          <w:bCs/>
          <w:sz w:val="22"/>
          <w:szCs w:val="22"/>
        </w:rPr>
        <w:t xml:space="preserve">Two of the three end customers are never identified. </w:t>
      </w:r>
      <w:r>
        <w:rPr>
          <w:rFonts w:ascii="Arial" w:cs="Arial" w:eastAsia="Arial" w:hAnsi="Arial"/>
          <w:sz w:val="22"/>
          <w:szCs w:val="22"/>
        </w:rPr>
        <w:t xml:space="preserve">Only Amazon is named, and only in the warrant disclosures. The identity, and therefore the accelerator roadmap dependency, of the other 66% of end-customer revenue is unknown.</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toll on the physics of moving data inside an AI rack. Copper gets worse every generation, lane counts rise, and someone has to sell the silicon that fixes it.</w:t>
      </w:r>
    </w:p>
    <w:p>
      <w:pPr>
        <w:pStyle w:val="ListParagraph"/>
        <w:numPr>
          <w:ilvl w:val="0"/>
          <w:numId w:val="2"/>
        </w:numPr>
        <w:spacing w:after="100" w:line="276"/>
      </w:pPr>
      <w:r>
        <w:rPr>
          <w:rFonts w:ascii="Arial" w:cs="Arial" w:eastAsia="Arial" w:hAnsi="Arial"/>
          <w:b/>
          <w:bCs/>
          <w:sz w:val="22"/>
          <w:szCs w:val="22"/>
        </w:rPr>
        <w:t xml:space="preserve">The economic engine: </w:t>
      </w:r>
      <w:r>
        <w:rPr>
          <w:rFonts w:ascii="Arial" w:cs="Arial" w:eastAsia="Arial" w:hAnsi="Arial"/>
          <w:sz w:val="22"/>
          <w:szCs w:val="22"/>
        </w:rPr>
        <w:t xml:space="preserve">high-design-content parts sold at 73–76% gross margin into sockets that take up to two years to win and then hold for the life of the platform, funded entirely from operations with no debt.</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content per accelerator rising as PCIe generations advance and as mix shifts into higher-priced Scorpio switches and modules — which lifts revenue and gross profit dollars while lowering the margin percentage.</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three customers provide 86% of revenue and are the parties most capable of replacing the company; the growth that makes Astera valuable is the same growth that makes in-sourcing worth funding.</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gross margin against the mix explanation, the escalating warrant charge, and whether end-customer concentration genuinely broadens rather than merely redistributing across manufacturing partners.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75C"/>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2026-09-06T01:58:27.647Z</dcterms:created>
  <dcterms:modified xsi:type="dcterms:W3CDTF">2026-09-06T01:58:27.665Z</dcterms:modified>
</cp:coreProperties>
</file>

<file path=docProps/custom.xml><?xml version="1.0" encoding="utf-8"?>
<Properties xmlns="http://schemas.openxmlformats.org/officeDocument/2006/custom-properties" xmlns:vt="http://schemas.openxmlformats.org/officeDocument/2006/docPropsVTypes"/>
</file>