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pPr>
      <w:r>
        <w:rPr>
          <w:rFonts w:ascii="Arial" w:cs="Arial" w:eastAsia="Arial" w:hAnsi="Arial"/>
          <w:color w:val="595959"/>
          <w:sz w:val="28"/>
          <w:szCs w:val="28"/>
        </w:rPr>
        <w:t xml:space="preserve">Business Overview</w:t>
      </w:r>
    </w:p>
    <w:p>
      <w:pPr>
        <w:spacing w:after="240" w:before="120"/>
      </w:pPr>
      <w:r>
        <w:rPr>
          <w:rFonts w:ascii="Arial" w:cs="Arial" w:eastAsia="Arial" w:hAnsi="Arial"/>
          <w:b/>
          <w:bCs/>
          <w:color w:val="1F3864"/>
          <w:sz w:val="52"/>
          <w:szCs w:val="52"/>
        </w:rPr>
        <w:t xml:space="preserve">Ciena Corporation (NYSE: CIEN)</w:t>
      </w:r>
    </w:p>
    <w:p>
      <w:pPr>
        <w:pBdr>
          <w:top w:val="single" w:color="1F3864" w:sz="8"/>
        </w:pBdr>
        <w:spacing w:after="400"/>
      </w:pPr>
      <w:r>
        <w:rPr>
          <w:rFonts w:ascii="Arial" w:cs="Arial" w:eastAsia="Arial" w:hAnsi="Arial"/>
          <w:sz w:val="12"/>
          <w:szCs w:val="12"/>
        </w:rPr>
        <w:t xml:space="preserve"/>
      </w:r>
    </w:p>
    <w:p>
      <w:pPr>
        <w:spacing w:after="140" w:line="276"/>
      </w:pPr>
      <w:r>
        <w:rPr>
          <w:rFonts w:ascii="Arial" w:cs="Arial" w:eastAsia="Arial" w:hAnsi="Arial"/>
          <w:b/>
          <w:bCs/>
          <w:sz w:val="24"/>
          <w:szCs w:val="24"/>
        </w:rPr>
        <w:t xml:space="preserve">7 September 2026</w:t>
      </w:r>
    </w:p>
    <w:p>
      <w:pPr>
        <w:spacing w:after="140" w:line="276"/>
      </w:pPr>
      <w:r>
        <w:rPr>
          <w:rFonts w:ascii="Arial" w:cs="Arial" w:eastAsia="Arial" w:hAnsi="Arial"/>
          <w:sz w:val="20"/>
          <w:szCs w:val="20"/>
        </w:rPr>
        <w:t xml:space="preserve">Evidence base: Ciena's SEC filings from the connected research folder — ten fiscal years of 10-Ks (FY2016 through FY2025, the latest for the year ended 1 November 2025), 31 10-Qs through the quarter ended 1 August 2026, quarterly releases and shareholder letters through 3 September 2026, and proxies. Industry structure, competitor economics, market share, pricing and demand data come from independent published sources — Dell'Oro Group, Cignal AI, TeleGeography, ABI Research — and from competitors' own filings. The folder contains no earnings-call transcripts and no investor-day materials, so no Q&amp;A-level management commentary was available.</w:t>
      </w:r>
    </w:p>
    <w:p>
      <w:pPr>
        <w:spacing w:after="140" w:line="276"/>
      </w:pPr>
      <w:r>
        <w:rPr>
          <w:rFonts w:ascii="Arial" w:cs="Arial" w:eastAsia="Arial" w:hAnsi="Arial"/>
          <w:i/>
          <w:iCs/>
          <w:sz w:val="20"/>
          <w:szCs w:val="20"/>
        </w:rPr>
        <w:t xml:space="preserve">This is an explanation of how the business works and what drives its economics. It is not a valuation and not a recommendation.</w:t>
      </w:r>
    </w:p>
    <w:p>
      <w:r>
        <w:br w:type="page"/>
      </w:r>
    </w:p>
    <w:p>
      <w:pPr>
        <w:pStyle w:val="Heading1"/>
        <w:spacing w:after="200" w:before="360"/>
      </w:pPr>
      <w:r>
        <w:rPr>
          <w:rFonts w:ascii="Arial" w:cs="Arial" w:eastAsia="Arial" w:hAnsi="Arial"/>
          <w:b/>
          <w:bCs/>
          <w:color w:val="1F3864"/>
          <w:sz w:val="32"/>
          <w:szCs w:val="32"/>
        </w:rPr>
        <w:t xml:space="preserve">1. Executive Snapshot</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2600"/>
        <w:gridCol w:w="6760"/>
      </w:tblGrid>
      <w:tr>
        <w:tc>
          <w:tcPr>
            <w:tcW w:type="dxa" w:w="2600"/>
            <w:tcMar>
              <w:top w:type="dxa" w:w="80"/>
              <w:left w:type="dxa" w:w="120"/>
              <w:bottom w:type="dxa" w:w="80"/>
              <w:right w:type="dxa" w:w="120"/>
            </w:tcMar>
          </w:tcPr>
          <w:p>
            <w:pPr>
              <w:spacing w:after="0" w:line="260"/>
              <w:jc w:val="left"/>
            </w:pPr>
            <w:r>
              <w:rPr>
                <w:rFonts w:ascii="Arial" w:cs="Arial" w:eastAsia="Arial" w:hAnsi="Arial"/>
                <w:b/>
                <w:bCs/>
                <w:sz w:val="20"/>
                <w:szCs w:val="20"/>
              </w:rPr>
              <w:t xml:space="preserve">What the business is</w:t>
            </w:r>
          </w:p>
        </w:tc>
        <w:tc>
          <w:tcPr>
            <w:tcW w:type="dxa" w:w="6760"/>
            <w:tcMar>
              <w:top w:type="dxa" w:w="80"/>
              <w:left w:type="dxa" w:w="120"/>
              <w:bottom w:type="dxa" w:w="80"/>
              <w:right w:type="dxa" w:w="120"/>
            </w:tcMar>
          </w:tcPr>
          <w:p>
            <w:pPr>
              <w:spacing w:after="0" w:line="260"/>
              <w:jc w:val="left"/>
            </w:pPr>
            <w:r>
              <w:rPr>
                <w:rFonts w:ascii="Arial" w:cs="Arial" w:eastAsia="Arial" w:hAnsi="Arial"/>
                <w:b w:val="false"/>
                <w:bCs w:val="false"/>
                <w:sz w:val="20"/>
                <w:szCs w:val="20"/>
              </w:rPr>
              <w:t xml:space="preserve">A pure-play supplier of optical transport systems — the equipment that carries data between buildings, cities and continents over fibre. Hardware is 80% of revenue; the company owns the coherent modem silicon inside it and outsources all manufacturing.</w:t>
            </w:r>
          </w:p>
        </w:tc>
      </w:tr>
      <w:tr>
        <w:tc>
          <w:tcPr>
            <w:tcW w:type="dxa" w:w="2600"/>
            <w:shd w:fill="F2F4F8" w:color="auto" w:val="clear"/>
            <w:tcMar>
              <w:top w:type="dxa" w:w="80"/>
              <w:left w:type="dxa" w:w="120"/>
              <w:bottom w:type="dxa" w:w="80"/>
              <w:right w:type="dxa" w:w="120"/>
            </w:tcMar>
          </w:tcPr>
          <w:p>
            <w:pPr>
              <w:spacing w:after="0" w:line="260"/>
              <w:jc w:val="left"/>
            </w:pPr>
            <w:r>
              <w:rPr>
                <w:rFonts w:ascii="Arial" w:cs="Arial" w:eastAsia="Arial" w:hAnsi="Arial"/>
                <w:b/>
                <w:bCs/>
                <w:sz w:val="20"/>
                <w:szCs w:val="20"/>
              </w:rPr>
              <w:t xml:space="preserve">Industry</w:t>
            </w:r>
          </w:p>
        </w:tc>
        <w:tc>
          <w:tcPr>
            <w:tcW w:type="dxa" w:w="6760"/>
            <w:shd w:fill="F2F4F8" w:color="auto" w:val="clear"/>
            <w:tcMar>
              <w:top w:type="dxa" w:w="80"/>
              <w:left w:type="dxa" w:w="120"/>
              <w:bottom w:type="dxa" w:w="80"/>
              <w:right w:type="dxa" w:w="120"/>
            </w:tcMar>
          </w:tcPr>
          <w:p>
            <w:pPr>
              <w:spacing w:after="0" w:line="260"/>
              <w:jc w:val="left"/>
            </w:pPr>
            <w:r>
              <w:rPr>
                <w:rFonts w:ascii="Arial" w:cs="Arial" w:eastAsia="Arial" w:hAnsi="Arial"/>
                <w:b w:val="false"/>
                <w:bCs w:val="false"/>
                <w:sz w:val="20"/>
                <w:szCs w:val="20"/>
              </w:rPr>
              <w:t xml:space="preserve">Optical transport equipment. $16.0bn globally in 2025, +10% (Dell'Oro, 18 Feb 2026); forecast to pass $18bn in 2026 for the first time since 2000 (Dell'Oro, 19 May 2026).</w:t>
            </w:r>
          </w:p>
        </w:tc>
      </w:tr>
      <w:tr>
        <w:tc>
          <w:tcPr>
            <w:tcW w:type="dxa" w:w="2600"/>
            <w:tcMar>
              <w:top w:type="dxa" w:w="80"/>
              <w:left w:type="dxa" w:w="120"/>
              <w:bottom w:type="dxa" w:w="80"/>
              <w:right w:type="dxa" w:w="120"/>
            </w:tcMar>
          </w:tcPr>
          <w:p>
            <w:pPr>
              <w:spacing w:after="0" w:line="260"/>
              <w:jc w:val="left"/>
            </w:pPr>
            <w:r>
              <w:rPr>
                <w:rFonts w:ascii="Arial" w:cs="Arial" w:eastAsia="Arial" w:hAnsi="Arial"/>
                <w:b/>
                <w:bCs/>
                <w:sz w:val="20"/>
                <w:szCs w:val="20"/>
              </w:rPr>
              <w:t xml:space="preserve">How it makes money</w:t>
            </w:r>
          </w:p>
        </w:tc>
        <w:tc>
          <w:tcPr>
            <w:tcW w:type="dxa" w:w="6760"/>
            <w:tcMar>
              <w:top w:type="dxa" w:w="80"/>
              <w:left w:type="dxa" w:w="120"/>
              <w:bottom w:type="dxa" w:w="80"/>
              <w:right w:type="dxa" w:w="120"/>
            </w:tcMar>
          </w:tcPr>
          <w:p>
            <w:pPr>
              <w:spacing w:after="0" w:line="260"/>
              <w:jc w:val="left"/>
            </w:pPr>
            <w:r>
              <w:rPr>
                <w:rFonts w:ascii="Arial" w:cs="Arial" w:eastAsia="Arial" w:hAnsi="Arial"/>
                <w:b w:val="false"/>
                <w:bCs w:val="false"/>
                <w:sz w:val="20"/>
                <w:szCs w:val="20"/>
              </w:rPr>
              <w:t xml:space="preserve">It sells a photonic line system into a fibre route, then sells coherent modems and channel cards to light more wavelengths on that route as the customer's traffic grows, plus maintenance and installation services around both.</w:t>
            </w:r>
          </w:p>
        </w:tc>
      </w:tr>
      <w:tr>
        <w:tc>
          <w:tcPr>
            <w:tcW w:type="dxa" w:w="2600"/>
            <w:shd w:fill="F2F4F8" w:color="auto" w:val="clear"/>
            <w:tcMar>
              <w:top w:type="dxa" w:w="80"/>
              <w:left w:type="dxa" w:w="120"/>
              <w:bottom w:type="dxa" w:w="80"/>
              <w:right w:type="dxa" w:w="120"/>
            </w:tcMar>
          </w:tcPr>
          <w:p>
            <w:pPr>
              <w:spacing w:after="0" w:line="260"/>
              <w:jc w:val="left"/>
            </w:pPr>
            <w:r>
              <w:rPr>
                <w:rFonts w:ascii="Arial" w:cs="Arial" w:eastAsia="Arial" w:hAnsi="Arial"/>
                <w:b/>
                <w:bCs/>
                <w:sz w:val="20"/>
                <w:szCs w:val="20"/>
              </w:rPr>
              <w:t xml:space="preserve">The unit of economics</w:t>
            </w:r>
          </w:p>
        </w:tc>
        <w:tc>
          <w:tcPr>
            <w:tcW w:type="dxa" w:w="6760"/>
            <w:shd w:fill="F2F4F8" w:color="auto" w:val="clear"/>
            <w:tcMar>
              <w:top w:type="dxa" w:w="80"/>
              <w:left w:type="dxa" w:w="120"/>
              <w:bottom w:type="dxa" w:w="80"/>
              <w:right w:type="dxa" w:w="120"/>
            </w:tcMar>
          </w:tcPr>
          <w:p>
            <w:pPr>
              <w:spacing w:after="0" w:line="260"/>
              <w:jc w:val="left"/>
            </w:pPr>
            <w:r>
              <w:rPr>
                <w:rFonts w:ascii="Arial" w:cs="Arial" w:eastAsia="Arial" w:hAnsi="Arial"/>
                <w:b w:val="false"/>
                <w:bCs w:val="false"/>
                <w:sz w:val="20"/>
                <w:szCs w:val="20"/>
              </w:rPr>
              <w:t xml:space="preserve">The coherent wavelength (inferred — Ciena discloses no unit count in any of ten 10-Ks). Optical Networking, which carries it, was $3,246.2m of FY2025 revenue at a 39.3% segment gross margin.</w:t>
            </w:r>
          </w:p>
        </w:tc>
      </w:tr>
      <w:tr>
        <w:tc>
          <w:tcPr>
            <w:tcW w:type="dxa" w:w="2600"/>
            <w:tcMar>
              <w:top w:type="dxa" w:w="80"/>
              <w:left w:type="dxa" w:w="120"/>
              <w:bottom w:type="dxa" w:w="80"/>
              <w:right w:type="dxa" w:w="120"/>
            </w:tcMar>
          </w:tcPr>
          <w:p>
            <w:pPr>
              <w:spacing w:after="0" w:line="260"/>
              <w:jc w:val="left"/>
            </w:pPr>
            <w:r>
              <w:rPr>
                <w:rFonts w:ascii="Arial" w:cs="Arial" w:eastAsia="Arial" w:hAnsi="Arial"/>
                <w:b/>
                <w:bCs/>
                <w:sz w:val="20"/>
                <w:szCs w:val="20"/>
              </w:rPr>
              <w:t xml:space="preserve">What protects it</w:t>
            </w:r>
          </w:p>
        </w:tc>
        <w:tc>
          <w:tcPr>
            <w:tcW w:type="dxa" w:w="6760"/>
            <w:tcMar>
              <w:top w:type="dxa" w:w="80"/>
              <w:left w:type="dxa" w:w="120"/>
              <w:bottom w:type="dxa" w:w="80"/>
              <w:right w:type="dxa" w:w="120"/>
            </w:tcMar>
          </w:tcPr>
          <w:p>
            <w:pPr>
              <w:spacing w:after="0" w:line="260"/>
              <w:jc w:val="left"/>
            </w:pPr>
            <w:r>
              <w:rPr>
                <w:rFonts w:ascii="Arial" w:cs="Arial" w:eastAsia="Arial" w:hAnsi="Arial"/>
                <w:b w:val="false"/>
                <w:bCs w:val="false"/>
                <w:sz w:val="20"/>
                <w:szCs w:val="20"/>
              </w:rPr>
              <w:t xml:space="preserve">One of only six firms in the world that build coherent DSPs (Cignal AI, 30 Apr 2026); installed line systems at the large North American carriers and cloud operators; roughly 40% share of disaggregated WDM, the fastest-growing part of the market (Dell'Oro, 16 Jun 2026).</w:t>
            </w:r>
          </w:p>
        </w:tc>
      </w:tr>
      <w:tr>
        <w:tc>
          <w:tcPr>
            <w:tcW w:type="dxa" w:w="2600"/>
            <w:shd w:fill="F2F4F8" w:color="auto" w:val="clear"/>
            <w:tcMar>
              <w:top w:type="dxa" w:w="80"/>
              <w:left w:type="dxa" w:w="120"/>
              <w:bottom w:type="dxa" w:w="80"/>
              <w:right w:type="dxa" w:w="120"/>
            </w:tcMar>
          </w:tcPr>
          <w:p>
            <w:pPr>
              <w:spacing w:after="0" w:line="260"/>
              <w:jc w:val="left"/>
            </w:pPr>
            <w:r>
              <w:rPr>
                <w:rFonts w:ascii="Arial" w:cs="Arial" w:eastAsia="Arial" w:hAnsi="Arial"/>
                <w:b/>
                <w:bCs/>
                <w:sz w:val="20"/>
                <w:szCs w:val="20"/>
              </w:rPr>
              <w:t xml:space="preserve">What drives earnings</w:t>
            </w:r>
          </w:p>
        </w:tc>
        <w:tc>
          <w:tcPr>
            <w:tcW w:type="dxa" w:w="6760"/>
            <w:shd w:fill="F2F4F8" w:color="auto" w:val="clear"/>
            <w:tcMar>
              <w:top w:type="dxa" w:w="80"/>
              <w:left w:type="dxa" w:w="120"/>
              <w:bottom w:type="dxa" w:w="80"/>
              <w:right w:type="dxa" w:w="120"/>
            </w:tcMar>
          </w:tcPr>
          <w:p>
            <w:pPr>
              <w:spacing w:after="0" w:line="260"/>
              <w:jc w:val="left"/>
            </w:pPr>
            <w:r>
              <w:rPr>
                <w:rFonts w:ascii="Arial" w:cs="Arial" w:eastAsia="Arial" w:hAnsi="Arial"/>
                <w:b w:val="false"/>
                <w:bCs w:val="false"/>
                <w:sz w:val="20"/>
                <w:szCs w:val="20"/>
              </w:rPr>
              <w:t xml:space="preserve">Cloud-provider capital spending on data-centre interconnect; the mix between high-value embedded modems and lower-revenue pluggable modules; and operating leverage on a fixed R&amp;D base of roughly $850m a year.</w:t>
            </w:r>
          </w:p>
        </w:tc>
      </w:tr>
      <w:tr>
        <w:tc>
          <w:tcPr>
            <w:tcW w:type="dxa" w:w="2600"/>
            <w:tcMar>
              <w:top w:type="dxa" w:w="80"/>
              <w:left w:type="dxa" w:w="120"/>
              <w:bottom w:type="dxa" w:w="80"/>
              <w:right w:type="dxa" w:w="120"/>
            </w:tcMar>
          </w:tcPr>
          <w:p>
            <w:pPr>
              <w:spacing w:after="0" w:line="260"/>
              <w:jc w:val="left"/>
            </w:pPr>
            <w:r>
              <w:rPr>
                <w:rFonts w:ascii="Arial" w:cs="Arial" w:eastAsia="Arial" w:hAnsi="Arial"/>
                <w:b/>
                <w:bCs/>
                <w:sz w:val="20"/>
                <w:szCs w:val="20"/>
              </w:rPr>
              <w:t xml:space="preserve">What to watch</w:t>
            </w:r>
          </w:p>
        </w:tc>
        <w:tc>
          <w:tcPr>
            <w:tcW w:type="dxa" w:w="6760"/>
            <w:tcMar>
              <w:top w:type="dxa" w:w="80"/>
              <w:left w:type="dxa" w:w="120"/>
              <w:bottom w:type="dxa" w:w="80"/>
              <w:right w:type="dxa" w:w="120"/>
            </w:tcMar>
          </w:tcPr>
          <w:p>
            <w:pPr>
              <w:spacing w:after="0" w:line="260"/>
              <w:jc w:val="left"/>
            </w:pPr>
            <w:r>
              <w:rPr>
                <w:rFonts w:ascii="Arial" w:cs="Arial" w:eastAsia="Arial" w:hAnsi="Arial"/>
                <w:b w:val="false"/>
                <w:bCs w:val="false"/>
                <w:sz w:val="20"/>
                <w:szCs w:val="20"/>
              </w:rPr>
              <w:t xml:space="preserve">Customer concentration — two customers were 41.7% of Q3 FY2026 revenue; the excess-and-obsolete inventory provision, which rose to $72.4m in nine months against a record backlog; and pluggables' share of WDM bandwidth.</w:t>
            </w:r>
          </w:p>
        </w:tc>
      </w:tr>
      <w:tr>
        <w:tc>
          <w:tcPr>
            <w:tcW w:type="dxa" w:w="2600"/>
            <w:shd w:fill="F2F4F8" w:color="auto" w:val="clear"/>
            <w:tcMar>
              <w:top w:type="dxa" w:w="80"/>
              <w:left w:type="dxa" w:w="120"/>
              <w:bottom w:type="dxa" w:w="80"/>
              <w:right w:type="dxa" w:w="120"/>
            </w:tcMar>
          </w:tcPr>
          <w:p>
            <w:pPr>
              <w:spacing w:after="0" w:line="260"/>
              <w:jc w:val="left"/>
            </w:pPr>
            <w:r>
              <w:rPr>
                <w:rFonts w:ascii="Arial" w:cs="Arial" w:eastAsia="Arial" w:hAnsi="Arial"/>
                <w:b/>
                <w:bCs/>
                <w:sz w:val="20"/>
                <w:szCs w:val="20"/>
              </w:rPr>
              <w:t xml:space="preserve">Cycle exposure</w:t>
            </w:r>
          </w:p>
        </w:tc>
        <w:tc>
          <w:tcPr>
            <w:tcW w:type="dxa" w:w="6760"/>
            <w:shd w:fill="F2F4F8" w:color="auto" w:val="clear"/>
            <w:tcMar>
              <w:top w:type="dxa" w:w="80"/>
              <w:left w:type="dxa" w:w="120"/>
              <w:bottom w:type="dxa" w:w="80"/>
              <w:right w:type="dxa" w:w="120"/>
            </w:tcMar>
          </w:tcPr>
          <w:p>
            <w:pPr>
              <w:spacing w:after="0" w:line="260"/>
              <w:jc w:val="left"/>
            </w:pPr>
            <w:r>
              <w:rPr>
                <w:rFonts w:ascii="Arial" w:cs="Arial" w:eastAsia="Arial" w:hAnsi="Arial"/>
                <w:b w:val="false"/>
                <w:bCs w:val="false"/>
                <w:sz w:val="20"/>
                <w:szCs w:val="20"/>
              </w:rPr>
              <w:t xml:space="preserve">High. Revenue fell 8.5% in FY2024 in a four-quarter industry inventory correction, then grew 18.8% in FY2025 and is guided to +35% in FY2026.</w:t>
            </w:r>
          </w:p>
        </w:tc>
      </w:tr>
    </w:tbl>
    <w:p>
      <w:r>
        <w:br w:type="page"/>
      </w:r>
    </w:p>
    <w:p>
      <w:pPr>
        <w:pStyle w:val="Heading1"/>
        <w:spacing w:after="200" w:before="360"/>
      </w:pPr>
      <w:r>
        <w:rPr>
          <w:rFonts w:ascii="Arial" w:cs="Arial" w:eastAsia="Arial" w:hAnsi="Arial"/>
          <w:b/>
          <w:bCs/>
          <w:color w:val="1F3864"/>
          <w:sz w:val="32"/>
          <w:szCs w:val="32"/>
        </w:rPr>
        <w:t xml:space="preserve">2. What the Company Does</w:t>
      </w:r>
    </w:p>
    <w:p>
      <w:pPr>
        <w:spacing w:after="140" w:line="276"/>
      </w:pPr>
      <w:r>
        <w:rPr>
          <w:rFonts w:ascii="Arial" w:cs="Arial" w:eastAsia="Arial" w:hAnsi="Arial"/>
          <w:sz w:val="22"/>
          <w:szCs w:val="22"/>
        </w:rPr>
        <w:t xml:space="preserve">The problem Ciena solves is bandwidth over distance. A single strand of fibre in the ground can carry an enormous amount of data, but only if something at each end can encode light precisely enough to push signal through hundreds or thousands of kilometres of glass without the noise swamping it. That encoding is done by a coherent modem — a specialised digital signal processor paired with a laser and modulator. Ciena designs those modems, builds them into transport systems, and sells the systems to the organisations that own or lease fibre: telecom carriers, cloud providers, submarine cable operators, cable companies and governments.</w:t>
      </w:r>
    </w:p>
    <w:p>
      <w:pPr>
        <w:spacing w:after="140" w:line="276"/>
      </w:pPr>
      <w:r>
        <w:rPr>
          <w:rFonts w:ascii="Arial" w:cs="Arial" w:eastAsia="Arial" w:hAnsi="Arial"/>
          <w:b/>
          <w:bCs/>
          <w:sz w:val="22"/>
          <w:szCs w:val="22"/>
        </w:rPr>
        <w:t xml:space="preserve">The unit of economics is the coherent wavelength — one lit channel of capacity across one fibre route. </w:t>
      </w:r>
      <w:r>
        <w:rPr>
          <w:rFonts w:ascii="Arial" w:cs="Arial" w:eastAsia="Arial" w:hAnsi="Arial"/>
          <w:sz w:val="22"/>
          <w:szCs w:val="22"/>
        </w:rPr>
        <w:t xml:space="preserve">A customer with a new route first buys a photonic line system: the amplifiers, multiplexers and reconfigurable switching nodes that condition the light along the whole path. That purchase is comparatively low-margin, and Ciena has said so directly, describing early-stage builds as carrying "an increased concentration of lower margin 'common' equipment, photonics sales and installation services, with the intent to improve margin as we sell channel cards and maintenance services to customers as they add capacity" (FY2023 10-K). As traffic on the route grows, the customer buys modems and channel cards to light additional wavelengths on the line system already installed. Those fills carry the modem economics, and they recur for as long as the route keeps filling.</w:t>
      </w:r>
    </w:p>
    <w:p>
      <w:pPr>
        <w:spacing w:after="140" w:line="276"/>
      </w:pPr>
      <w:r>
        <w:rPr>
          <w:rFonts w:ascii="Arial" w:cs="Arial" w:eastAsia="Arial" w:hAnsi="Arial"/>
          <w:b/>
          <w:bCs/>
          <w:sz w:val="22"/>
          <w:szCs w:val="22"/>
        </w:rPr>
        <w:t xml:space="preserve">Follow one unit through to cash. </w:t>
      </w:r>
      <w:r>
        <w:rPr>
          <w:rFonts w:ascii="Arial" w:cs="Arial" w:eastAsia="Arial" w:hAnsi="Arial"/>
          <w:sz w:val="22"/>
          <w:szCs w:val="22"/>
        </w:rPr>
        <w:t xml:space="preserve">An unnamed contract manufacturer in Canada, Mexico, Thailand, Vietnam or the United States builds the hardware to Ciena's specification — Ciena owns no factory and, as of 1 November 2025, no real property at all (FY2025 10-K). Revenue is recognised when control transfers, "generally upon shipment or delivery to the customer." All Networking Platforms revenue — 77% of the company — is recognised at that point; 81.3% of total FY2025 revenue was point-in-time (FY2025 10-K, Note 2). Installation is a separate obligation recognised over time inside Global Services. Days sales outstanding were 76 in the most recent quarter, down from 88 a year earlier (Q3 FY2026 presentation, 3 Sep 2026), so cash follows shipment by roughly a quarter. Revenue is therefore not gated on the customer accepting a working network, which matters for how quickly a demand change shows up in the numbers, and for how quickly a backlog can convert.</w:t>
      </w:r>
    </w:p>
    <w:p>
      <w:pPr>
        <w:pStyle w:val="Heading2"/>
        <w:spacing w:after="180" w:before="180"/>
      </w:pPr>
      <w:r>
        <w:rPr>
          <w:rFonts w:ascii="Arial" w:cs="Arial" w:eastAsia="Arial" w:hAnsi="Arial"/>
          <w:b/>
          <w:bCs/>
          <w:color w:val="1F3864"/>
          <w:sz w:val="28"/>
          <w:szCs w:val="28"/>
        </w:rPr>
        <w:t xml:space="preserve">What the four segments actually contain</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2900"/>
        <w:gridCol w:w="1550"/>
        <w:gridCol w:w="1500"/>
        <w:gridCol w:w="3410"/>
      </w:tblGrid>
      <w:tr>
        <w:trPr>
          <w:tblHeader/>
        </w:trPr>
        <w:tc>
          <w:tcPr>
            <w:tcW w:type="dxa" w:w="2900"/>
            <w:shd w:fill="1F3864" w:color="auto" w:val="clear"/>
            <w:tcMar>
              <w:top w:type="dxa" w:w="80"/>
              <w:left w:type="dxa" w:w="120"/>
              <w:bottom w:type="dxa" w:w="80"/>
              <w:right w:type="dxa" w:w="120"/>
            </w:tcMar>
          </w:tcPr>
          <w:p>
            <w:pPr>
              <w:spacing w:after="0" w:line="260"/>
              <w:jc w:val="left"/>
            </w:pPr>
            <w:r>
              <w:rPr>
                <w:rFonts w:ascii="Arial" w:cs="Arial" w:eastAsia="Arial" w:hAnsi="Arial"/>
                <w:b/>
                <w:bCs/>
                <w:color w:val="FFFFFF"/>
                <w:sz w:val="20"/>
                <w:szCs w:val="20"/>
              </w:rPr>
              <w:t xml:space="preserve">Segment</w:t>
            </w:r>
          </w:p>
        </w:tc>
        <w:tc>
          <w:tcPr>
            <w:tcW w:type="dxa" w:w="1550"/>
            <w:shd w:fill="1F3864" w:color="auto" w:val="clear"/>
            <w:tcMar>
              <w:top w:type="dxa" w:w="80"/>
              <w:left w:type="dxa" w:w="120"/>
              <w:bottom w:type="dxa" w:w="80"/>
              <w:right w:type="dxa" w:w="120"/>
            </w:tcMar>
          </w:tcPr>
          <w:p>
            <w:pPr>
              <w:spacing w:after="0" w:line="260"/>
              <w:jc w:val="right"/>
            </w:pPr>
            <w:r>
              <w:rPr>
                <w:rFonts w:ascii="Arial" w:cs="Arial" w:eastAsia="Arial" w:hAnsi="Arial"/>
                <w:b/>
                <w:bCs/>
                <w:color w:val="FFFFFF"/>
                <w:sz w:val="20"/>
                <w:szCs w:val="20"/>
              </w:rPr>
              <w:t xml:space="preserve">FY2025 revenue</w:t>
            </w:r>
          </w:p>
        </w:tc>
        <w:tc>
          <w:tcPr>
            <w:tcW w:type="dxa" w:w="1500"/>
            <w:shd w:fill="1F3864" w:color="auto" w:val="clear"/>
            <w:tcMar>
              <w:top w:type="dxa" w:w="80"/>
              <w:left w:type="dxa" w:w="120"/>
              <w:bottom w:type="dxa" w:w="80"/>
              <w:right w:type="dxa" w:w="120"/>
            </w:tcMar>
          </w:tcPr>
          <w:p>
            <w:pPr>
              <w:spacing w:after="0" w:line="260"/>
              <w:jc w:val="right"/>
            </w:pPr>
            <w:r>
              <w:rPr>
                <w:rFonts w:ascii="Arial" w:cs="Arial" w:eastAsia="Arial" w:hAnsi="Arial"/>
                <w:b/>
                <w:bCs/>
                <w:color w:val="FFFFFF"/>
                <w:sz w:val="20"/>
                <w:szCs w:val="20"/>
              </w:rPr>
              <w:t xml:space="preserve">Segment gross margin</w:t>
            </w:r>
          </w:p>
        </w:tc>
        <w:tc>
          <w:tcPr>
            <w:tcW w:type="dxa" w:w="3410"/>
            <w:shd w:fill="1F3864" w:color="auto" w:val="clear"/>
            <w:tcMar>
              <w:top w:type="dxa" w:w="80"/>
              <w:left w:type="dxa" w:w="120"/>
              <w:bottom w:type="dxa" w:w="80"/>
              <w:right w:type="dxa" w:w="120"/>
            </w:tcMar>
          </w:tcPr>
          <w:p>
            <w:pPr>
              <w:spacing w:after="0" w:line="260"/>
              <w:jc w:val="left"/>
            </w:pPr>
            <w:r>
              <w:rPr>
                <w:rFonts w:ascii="Arial" w:cs="Arial" w:eastAsia="Arial" w:hAnsi="Arial"/>
                <w:b/>
                <w:bCs/>
                <w:color w:val="FFFFFF"/>
                <w:sz w:val="20"/>
                <w:szCs w:val="20"/>
              </w:rPr>
              <w:t xml:space="preserve">What it is</w:t>
            </w:r>
          </w:p>
        </w:tc>
      </w:tr>
      <w:tr>
        <w:tc>
          <w:tcPr>
            <w:tcW w:type="dxa" w:w="2900"/>
            <w:tcMar>
              <w:top w:type="dxa" w:w="80"/>
              <w:left w:type="dxa" w:w="120"/>
              <w:bottom w:type="dxa" w:w="80"/>
              <w:right w:type="dxa" w:w="120"/>
            </w:tcMar>
          </w:tcPr>
          <w:p>
            <w:pPr>
              <w:spacing w:after="0" w:line="260"/>
              <w:jc w:val="left"/>
            </w:pPr>
            <w:r>
              <w:rPr>
                <w:rFonts w:ascii="Arial" w:cs="Arial" w:eastAsia="Arial" w:hAnsi="Arial"/>
                <w:sz w:val="20"/>
                <w:szCs w:val="20"/>
              </w:rPr>
              <w:t xml:space="preserve">Networking Platforms</w:t>
            </w:r>
          </w:p>
        </w:tc>
        <w:tc>
          <w:tcPr>
            <w:tcW w:type="dxa" w:w="1550"/>
            <w:tcMar>
              <w:top w:type="dxa" w:w="80"/>
              <w:left w:type="dxa" w:w="120"/>
              <w:bottom w:type="dxa" w:w="80"/>
              <w:right w:type="dxa" w:w="120"/>
            </w:tcMar>
          </w:tcPr>
          <w:p>
            <w:pPr>
              <w:spacing w:after="0" w:line="260"/>
              <w:jc w:val="right"/>
            </w:pPr>
            <w:r>
              <w:rPr>
                <w:rFonts w:ascii="Arial" w:cs="Arial" w:eastAsia="Arial" w:hAnsi="Arial"/>
                <w:sz w:val="20"/>
                <w:szCs w:val="20"/>
              </w:rPr>
              <w:t xml:space="preserve">$3,676.4m</w:t>
            </w:r>
          </w:p>
        </w:tc>
        <w:tc>
          <w:tcPr>
            <w:tcW w:type="dxa" w:w="1500"/>
            <w:tcMar>
              <w:top w:type="dxa" w:w="80"/>
              <w:left w:type="dxa" w:w="120"/>
              <w:bottom w:type="dxa" w:w="80"/>
              <w:right w:type="dxa" w:w="120"/>
            </w:tcMar>
          </w:tcPr>
          <w:p>
            <w:pPr>
              <w:spacing w:after="0" w:line="260"/>
              <w:jc w:val="right"/>
            </w:pPr>
            <w:r>
              <w:rPr>
                <w:rFonts w:ascii="Arial" w:cs="Arial" w:eastAsia="Arial" w:hAnsi="Arial"/>
                <w:sz w:val="20"/>
                <w:szCs w:val="20"/>
              </w:rPr>
              <w:t xml:space="preserve">39.3%</w:t>
            </w:r>
          </w:p>
        </w:tc>
        <w:tc>
          <w:tcPr>
            <w:tcW w:type="dxa" w:w="3410"/>
            <w:tcMar>
              <w:top w:type="dxa" w:w="80"/>
              <w:left w:type="dxa" w:w="120"/>
              <w:bottom w:type="dxa" w:w="80"/>
              <w:right w:type="dxa" w:w="120"/>
            </w:tcMar>
          </w:tcPr>
          <w:p>
            <w:pPr>
              <w:spacing w:after="0" w:line="260"/>
              <w:jc w:val="left"/>
            </w:pPr>
            <w:r>
              <w:rPr>
                <w:rFonts w:ascii="Arial" w:cs="Arial" w:eastAsia="Arial" w:hAnsi="Arial"/>
                <w:sz w:val="20"/>
                <w:szCs w:val="20"/>
              </w:rPr>
              <w:t xml:space="preserve">The hardware. Optical Networking ($3,246.2m) is the 6500 platform, Waveserver, the reconfigurable line system and coherent pluggables. Routing and Switching ($430.1m) is coherent IP and service-aggregation platforms.</w:t>
            </w:r>
          </w:p>
        </w:tc>
      </w:tr>
      <w:tr>
        <w:tc>
          <w:tcPr>
            <w:tcW w:type="dxa" w:w="2900"/>
            <w:shd w:fill="F2F4F8" w:color="auto" w:val="clear"/>
            <w:tcMar>
              <w:top w:type="dxa" w:w="80"/>
              <w:left w:type="dxa" w:w="120"/>
              <w:bottom w:type="dxa" w:w="80"/>
              <w:right w:type="dxa" w:w="120"/>
            </w:tcMar>
          </w:tcPr>
          <w:p>
            <w:pPr>
              <w:spacing w:after="0" w:line="260"/>
              <w:jc w:val="left"/>
            </w:pPr>
            <w:r>
              <w:rPr>
                <w:rFonts w:ascii="Arial" w:cs="Arial" w:eastAsia="Arial" w:hAnsi="Arial"/>
                <w:sz w:val="20"/>
                <w:szCs w:val="20"/>
              </w:rPr>
              <w:t xml:space="preserve">Platform Software and Services</w:t>
            </w:r>
          </w:p>
        </w:tc>
        <w:tc>
          <w:tcPr>
            <w:tcW w:type="dxa" w:w="1550"/>
            <w:shd w:fill="F2F4F8" w:color="auto" w:val="clear"/>
            <w:tcMar>
              <w:top w:type="dxa" w:w="80"/>
              <w:left w:type="dxa" w:w="120"/>
              <w:bottom w:type="dxa" w:w="80"/>
              <w:right w:type="dxa" w:w="120"/>
            </w:tcMar>
          </w:tcPr>
          <w:p>
            <w:pPr>
              <w:spacing w:after="0" w:line="260"/>
              <w:jc w:val="right"/>
            </w:pPr>
            <w:r>
              <w:rPr>
                <w:rFonts w:ascii="Arial" w:cs="Arial" w:eastAsia="Arial" w:hAnsi="Arial"/>
                <w:sz w:val="20"/>
                <w:szCs w:val="20"/>
              </w:rPr>
              <w:t xml:space="preserve">$363.8m</w:t>
            </w:r>
          </w:p>
        </w:tc>
        <w:tc>
          <w:tcPr>
            <w:tcW w:type="dxa" w:w="1500"/>
            <w:shd w:fill="F2F4F8" w:color="auto" w:val="clear"/>
            <w:tcMar>
              <w:top w:type="dxa" w:w="80"/>
              <w:left w:type="dxa" w:w="120"/>
              <w:bottom w:type="dxa" w:w="80"/>
              <w:right w:type="dxa" w:w="120"/>
            </w:tcMar>
          </w:tcPr>
          <w:p>
            <w:pPr>
              <w:spacing w:after="0" w:line="260"/>
              <w:jc w:val="right"/>
            </w:pPr>
            <w:r>
              <w:rPr>
                <w:rFonts w:ascii="Arial" w:cs="Arial" w:eastAsia="Arial" w:hAnsi="Arial"/>
                <w:sz w:val="20"/>
                <w:szCs w:val="20"/>
              </w:rPr>
              <w:t xml:space="preserve">84.5%</w:t>
            </w:r>
          </w:p>
        </w:tc>
        <w:tc>
          <w:tcPr>
            <w:tcW w:type="dxa" w:w="3410"/>
            <w:shd w:fill="F2F4F8" w:color="auto" w:val="clear"/>
            <w:tcMar>
              <w:top w:type="dxa" w:w="80"/>
              <w:left w:type="dxa" w:w="120"/>
              <w:bottom w:type="dxa" w:w="80"/>
              <w:right w:type="dxa" w:w="120"/>
            </w:tcMar>
          </w:tcPr>
          <w:p>
            <w:pPr>
              <w:spacing w:after="0" w:line="260"/>
              <w:jc w:val="left"/>
            </w:pPr>
            <w:r>
              <w:rPr>
                <w:rFonts w:ascii="Arial" w:cs="Arial" w:eastAsia="Arial" w:hAnsi="Arial"/>
                <w:sz w:val="20"/>
                <w:szCs w:val="20"/>
              </w:rPr>
              <w:t xml:space="preserve">The Navigator control suite that runs the optical network, plus the subscription and support attached to it. Small, but the highest-margin line in the company.</w:t>
            </w:r>
          </w:p>
        </w:tc>
      </w:tr>
      <w:tr>
        <w:tc>
          <w:tcPr>
            <w:tcW w:type="dxa" w:w="2900"/>
            <w:tcMar>
              <w:top w:type="dxa" w:w="80"/>
              <w:left w:type="dxa" w:w="120"/>
              <w:bottom w:type="dxa" w:w="80"/>
              <w:right w:type="dxa" w:w="120"/>
            </w:tcMar>
          </w:tcPr>
          <w:p>
            <w:pPr>
              <w:spacing w:after="0" w:line="260"/>
              <w:jc w:val="left"/>
            </w:pPr>
            <w:r>
              <w:rPr>
                <w:rFonts w:ascii="Arial" w:cs="Arial" w:eastAsia="Arial" w:hAnsi="Arial"/>
                <w:sz w:val="20"/>
                <w:szCs w:val="20"/>
              </w:rPr>
              <w:t xml:space="preserve">Blue Planet</w:t>
            </w:r>
          </w:p>
        </w:tc>
        <w:tc>
          <w:tcPr>
            <w:tcW w:type="dxa" w:w="1550"/>
            <w:tcMar>
              <w:top w:type="dxa" w:w="80"/>
              <w:left w:type="dxa" w:w="120"/>
              <w:bottom w:type="dxa" w:w="80"/>
              <w:right w:type="dxa" w:w="120"/>
            </w:tcMar>
          </w:tcPr>
          <w:p>
            <w:pPr>
              <w:spacing w:after="0" w:line="260"/>
              <w:jc w:val="right"/>
            </w:pPr>
            <w:r>
              <w:rPr>
                <w:rFonts w:ascii="Arial" w:cs="Arial" w:eastAsia="Arial" w:hAnsi="Arial"/>
                <w:sz w:val="20"/>
                <w:szCs w:val="20"/>
              </w:rPr>
              <w:t xml:space="preserve">$115.5m</w:t>
            </w:r>
          </w:p>
        </w:tc>
        <w:tc>
          <w:tcPr>
            <w:tcW w:type="dxa" w:w="1500"/>
            <w:tcMar>
              <w:top w:type="dxa" w:w="80"/>
              <w:left w:type="dxa" w:w="120"/>
              <w:bottom w:type="dxa" w:w="80"/>
              <w:right w:type="dxa" w:w="120"/>
            </w:tcMar>
          </w:tcPr>
          <w:p>
            <w:pPr>
              <w:spacing w:after="0" w:line="260"/>
              <w:jc w:val="right"/>
            </w:pPr>
            <w:r>
              <w:rPr>
                <w:rFonts w:ascii="Arial" w:cs="Arial" w:eastAsia="Arial" w:hAnsi="Arial"/>
                <w:sz w:val="20"/>
                <w:szCs w:val="20"/>
              </w:rPr>
              <w:t xml:space="preserve">58.2%</w:t>
            </w:r>
          </w:p>
        </w:tc>
        <w:tc>
          <w:tcPr>
            <w:tcW w:type="dxa" w:w="3410"/>
            <w:tcMar>
              <w:top w:type="dxa" w:w="80"/>
              <w:left w:type="dxa" w:w="120"/>
              <w:bottom w:type="dxa" w:w="80"/>
              <w:right w:type="dxa" w:w="120"/>
            </w:tcMar>
          </w:tcPr>
          <w:p>
            <w:pPr>
              <w:spacing w:after="0" w:line="260"/>
              <w:jc w:val="left"/>
            </w:pPr>
            <w:r>
              <w:rPr>
                <w:rFonts w:ascii="Arial" w:cs="Arial" w:eastAsia="Arial" w:hAnsi="Arial"/>
                <w:sz w:val="20"/>
                <w:szCs w:val="20"/>
              </w:rPr>
              <w:t xml:space="preserve">Multi-domain orchestration, inventory and assurance software sold above the network layer. Loss-making every year from FY2018 to FY2024; first profitable year was FY2025.</w:t>
            </w:r>
          </w:p>
        </w:tc>
      </w:tr>
      <w:tr>
        <w:tc>
          <w:tcPr>
            <w:tcW w:type="dxa" w:w="2900"/>
            <w:shd w:fill="F2F4F8" w:color="auto" w:val="clear"/>
            <w:tcMar>
              <w:top w:type="dxa" w:w="80"/>
              <w:left w:type="dxa" w:w="120"/>
              <w:bottom w:type="dxa" w:w="80"/>
              <w:right w:type="dxa" w:w="120"/>
            </w:tcMar>
          </w:tcPr>
          <w:p>
            <w:pPr>
              <w:spacing w:after="0" w:line="260"/>
              <w:jc w:val="left"/>
            </w:pPr>
            <w:r>
              <w:rPr>
                <w:rFonts w:ascii="Arial" w:cs="Arial" w:eastAsia="Arial" w:hAnsi="Arial"/>
                <w:sz w:val="20"/>
                <w:szCs w:val="20"/>
              </w:rPr>
              <w:t xml:space="preserve">Global Services</w:t>
            </w:r>
          </w:p>
        </w:tc>
        <w:tc>
          <w:tcPr>
            <w:tcW w:type="dxa" w:w="1550"/>
            <w:shd w:fill="F2F4F8" w:color="auto" w:val="clear"/>
            <w:tcMar>
              <w:top w:type="dxa" w:w="80"/>
              <w:left w:type="dxa" w:w="120"/>
              <w:bottom w:type="dxa" w:w="80"/>
              <w:right w:type="dxa" w:w="120"/>
            </w:tcMar>
          </w:tcPr>
          <w:p>
            <w:pPr>
              <w:spacing w:after="0" w:line="260"/>
              <w:jc w:val="right"/>
            </w:pPr>
            <w:r>
              <w:rPr>
                <w:rFonts w:ascii="Arial" w:cs="Arial" w:eastAsia="Arial" w:hAnsi="Arial"/>
                <w:sz w:val="20"/>
                <w:szCs w:val="20"/>
              </w:rPr>
              <w:t xml:space="preserve">$613.8m</w:t>
            </w:r>
          </w:p>
        </w:tc>
        <w:tc>
          <w:tcPr>
            <w:tcW w:type="dxa" w:w="1500"/>
            <w:shd w:fill="F2F4F8" w:color="auto" w:val="clear"/>
            <w:tcMar>
              <w:top w:type="dxa" w:w="80"/>
              <w:left w:type="dxa" w:w="120"/>
              <w:bottom w:type="dxa" w:w="80"/>
              <w:right w:type="dxa" w:w="120"/>
            </w:tcMar>
          </w:tcPr>
          <w:p>
            <w:pPr>
              <w:spacing w:after="0" w:line="260"/>
              <w:jc w:val="right"/>
            </w:pPr>
            <w:r>
              <w:rPr>
                <w:rFonts w:ascii="Arial" w:cs="Arial" w:eastAsia="Arial" w:hAnsi="Arial"/>
                <w:sz w:val="20"/>
                <w:szCs w:val="20"/>
              </w:rPr>
              <w:t xml:space="preserve">35.6%</w:t>
            </w:r>
          </w:p>
        </w:tc>
        <w:tc>
          <w:tcPr>
            <w:tcW w:type="dxa" w:w="3410"/>
            <w:shd w:fill="F2F4F8" w:color="auto" w:val="clear"/>
            <w:tcMar>
              <w:top w:type="dxa" w:w="80"/>
              <w:left w:type="dxa" w:w="120"/>
              <w:bottom w:type="dxa" w:w="80"/>
              <w:right w:type="dxa" w:w="120"/>
            </w:tcMar>
          </w:tcPr>
          <w:p>
            <w:pPr>
              <w:spacing w:after="0" w:line="260"/>
              <w:jc w:val="left"/>
            </w:pPr>
            <w:r>
              <w:rPr>
                <w:rFonts w:ascii="Arial" w:cs="Arial" w:eastAsia="Arial" w:hAnsi="Arial"/>
                <w:sz w:val="20"/>
                <w:szCs w:val="20"/>
              </w:rPr>
              <w:t xml:space="preserve">Maintenance and support, installation, and network design. Labour-based, and the margin moves with the mix between recurring maintenance and project implementation.</w:t>
            </w:r>
          </w:p>
        </w:tc>
      </w:tr>
    </w:tbl>
    <w:p>
      <w:pPr>
        <w:spacing w:after="200" w:before="80"/>
      </w:pPr>
      <w:r>
        <w:rPr>
          <w:rFonts w:ascii="Arial" w:cs="Arial" w:eastAsia="Arial" w:hAnsi="Arial"/>
          <w:i/>
          <w:iCs/>
          <w:color w:val="595959"/>
          <w:sz w:val="18"/>
          <w:szCs w:val="18"/>
        </w:rPr>
        <w:t xml:space="preserve">Source: FY2025 10-K, Note 24. Segment gross profit was disclosed for the first time in FY2025 under ASU 2023-07; earlier years have no comparable segment gross-margin figure.</w:t>
      </w:r>
    </w:p>
    <w:p>
      <w:pPr>
        <w:spacing w:after="140" w:line="276"/>
      </w:pPr>
      <w:r>
        <w:rPr>
          <w:rFonts w:ascii="Arial" w:cs="Arial" w:eastAsia="Arial" w:hAnsi="Arial"/>
          <w:sz w:val="22"/>
          <w:szCs w:val="22"/>
        </w:rPr>
        <w:t xml:space="preserve">Two exits explain more than any strategy statement. The legacy Optical Transport line — pre-coherent equipment — fell from $127.2m in FY2014 to $36.0m in FY2016 and then stopped being reported: the older technology had no cost-reduction runway against coherent economics. More recently, in the fourth quarter of FY2025 Ciena abandoned its 25G passive optical networking programme, writing off $89.1m of in-process R&amp;D acquired with Tibit and cutting 4-5% of the workforce (FY2025 10-K, Note 4). Tibit and Benu had cost roughly $291.7m in aggregate three years earlier. A product line is abandoned when its cost curve cannot be made to work, and both exits say the same thing: outside coherent transport, Ciena's engineering economics have not travelled well.</w:t>
      </w:r>
    </w:p>
    <w:p>
      <w:r>
        <w:br w:type="page"/>
      </w:r>
    </w:p>
    <w:p>
      <w:pPr>
        <w:pStyle w:val="Heading1"/>
        <w:spacing w:after="200" w:before="360"/>
      </w:pPr>
      <w:r>
        <w:rPr>
          <w:rFonts w:ascii="Arial" w:cs="Arial" w:eastAsia="Arial" w:hAnsi="Arial"/>
          <w:b/>
          <w:bCs/>
          <w:color w:val="1F3864"/>
          <w:sz w:val="32"/>
          <w:szCs w:val="32"/>
        </w:rPr>
        <w:t xml:space="preserve">3. Industry, Competitive Position and Moat</w:t>
      </w:r>
    </w:p>
    <w:p>
      <w:pPr>
        <w:spacing w:after="140" w:line="276"/>
      </w:pPr>
      <w:r>
        <w:rPr>
          <w:rFonts w:ascii="Arial" w:cs="Arial" w:eastAsia="Arial" w:hAnsi="Arial"/>
          <w:sz w:val="22"/>
          <w:szCs w:val="22"/>
        </w:rPr>
        <w:t xml:space="preserve">Optical transport is a market that has grown in bandwidth relentlessly and in dollars barely at all. It was $16.0bn in 2025, up 10% (Dell'Oro Group, 18 Feb 2026), and Dell'Oro's May 2026 forecast has it passing $18bn in 2026 — which it describes as the first time since the year 2000. Twenty-six years of no nominal growth at market level, while the traffic carried has risen by orders of magnitude, is the single most important fact about this industry. The reason is price: the weighted-median price of a 100Gbps wavelength across key global routes fell at an 11% compound annual rate between the fourth quarter of 2021 and the fourth quarter of 2024, and by 25% a year on the Miami–São Paulo route (TeleGeography, 20 May 2025). Vendors here do not earn returns from pricing power. They earn them from volume outrunning price decline, and from surviving the years when it does not.</w:t>
      </w:r>
    </w:p>
    <w:p>
      <w:pPr>
        <w:pStyle w:val="Heading2"/>
        <w:spacing w:after="180" w:before="180"/>
      </w:pPr>
      <w:r>
        <w:rPr>
          <w:rFonts w:ascii="Arial" w:cs="Arial" w:eastAsia="Arial" w:hAnsi="Arial"/>
          <w:b/>
          <w:bCs/>
          <w:color w:val="1F3864"/>
          <w:sz w:val="28"/>
          <w:szCs w:val="28"/>
        </w:rPr>
        <w:t xml:space="preserve">Where the profit sits in the chain</w:t>
      </w:r>
    </w:p>
    <w:p>
      <w:pPr>
        <w:spacing w:after="140" w:line="276"/>
      </w:pPr>
      <w:r>
        <w:rPr>
          <w:rFonts w:ascii="Arial" w:cs="Arial" w:eastAsia="Arial" w:hAnsi="Arial"/>
          <w:sz w:val="22"/>
          <w:szCs w:val="22"/>
        </w:rPr>
        <w:t xml:space="preserve">Value flows from photonic component makers, through coherent DSP designers, to transport system vendors, to the network operators who buy the systems. The reported margins make the distribution unambiguous.</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3260"/>
        <w:gridCol w:w="3100"/>
        <w:gridCol w:w="1500"/>
        <w:gridCol w:w="1500"/>
      </w:tblGrid>
      <w:tr>
        <w:trPr>
          <w:tblHeader/>
        </w:trPr>
        <w:tc>
          <w:tcPr>
            <w:tcW w:type="dxa" w:w="3260"/>
            <w:shd w:fill="1F3864" w:color="auto" w:val="clear"/>
            <w:tcMar>
              <w:top w:type="dxa" w:w="80"/>
              <w:left w:type="dxa" w:w="120"/>
              <w:bottom w:type="dxa" w:w="80"/>
              <w:right w:type="dxa" w:w="120"/>
            </w:tcMar>
          </w:tcPr>
          <w:p>
            <w:pPr>
              <w:spacing w:after="0" w:line="260"/>
              <w:jc w:val="left"/>
            </w:pPr>
            <w:r>
              <w:rPr>
                <w:rFonts w:ascii="Arial" w:cs="Arial" w:eastAsia="Arial" w:hAnsi="Arial"/>
                <w:b/>
                <w:bCs/>
                <w:color w:val="FFFFFF"/>
                <w:sz w:val="20"/>
                <w:szCs w:val="20"/>
              </w:rPr>
              <w:t xml:space="preserve">Layer</w:t>
            </w:r>
          </w:p>
        </w:tc>
        <w:tc>
          <w:tcPr>
            <w:tcW w:type="dxa" w:w="3100"/>
            <w:shd w:fill="1F3864" w:color="auto" w:val="clear"/>
            <w:tcMar>
              <w:top w:type="dxa" w:w="80"/>
              <w:left w:type="dxa" w:w="120"/>
              <w:bottom w:type="dxa" w:w="80"/>
              <w:right w:type="dxa" w:w="120"/>
            </w:tcMar>
          </w:tcPr>
          <w:p>
            <w:pPr>
              <w:spacing w:after="0" w:line="260"/>
              <w:jc w:val="left"/>
            </w:pPr>
            <w:r>
              <w:rPr>
                <w:rFonts w:ascii="Arial" w:cs="Arial" w:eastAsia="Arial" w:hAnsi="Arial"/>
                <w:b/>
                <w:bCs/>
                <w:color w:val="FFFFFF"/>
                <w:sz w:val="20"/>
                <w:szCs w:val="20"/>
              </w:rPr>
              <w:t xml:space="preserve">Company (most recent fiscal year)</w:t>
            </w:r>
          </w:p>
        </w:tc>
        <w:tc>
          <w:tcPr>
            <w:tcW w:type="dxa" w:w="1500"/>
            <w:shd w:fill="1F3864" w:color="auto" w:val="clear"/>
            <w:tcMar>
              <w:top w:type="dxa" w:w="80"/>
              <w:left w:type="dxa" w:w="120"/>
              <w:bottom w:type="dxa" w:w="80"/>
              <w:right w:type="dxa" w:w="120"/>
            </w:tcMar>
          </w:tcPr>
          <w:p>
            <w:pPr>
              <w:spacing w:after="0" w:line="260"/>
              <w:jc w:val="right"/>
            </w:pPr>
            <w:r>
              <w:rPr>
                <w:rFonts w:ascii="Arial" w:cs="Arial" w:eastAsia="Arial" w:hAnsi="Arial"/>
                <w:b/>
                <w:bCs/>
                <w:color w:val="FFFFFF"/>
                <w:sz w:val="20"/>
                <w:szCs w:val="20"/>
              </w:rPr>
              <w:t xml:space="preserve">Gross margin</w:t>
            </w:r>
          </w:p>
        </w:tc>
        <w:tc>
          <w:tcPr>
            <w:tcW w:type="dxa" w:w="1500"/>
            <w:shd w:fill="1F3864" w:color="auto" w:val="clear"/>
            <w:tcMar>
              <w:top w:type="dxa" w:w="80"/>
              <w:left w:type="dxa" w:w="120"/>
              <w:bottom w:type="dxa" w:w="80"/>
              <w:right w:type="dxa" w:w="120"/>
            </w:tcMar>
          </w:tcPr>
          <w:p>
            <w:pPr>
              <w:spacing w:after="0" w:line="260"/>
              <w:jc w:val="right"/>
            </w:pPr>
            <w:r>
              <w:rPr>
                <w:rFonts w:ascii="Arial" w:cs="Arial" w:eastAsia="Arial" w:hAnsi="Arial"/>
                <w:b/>
                <w:bCs/>
                <w:color w:val="FFFFFF"/>
                <w:sz w:val="20"/>
                <w:szCs w:val="20"/>
              </w:rPr>
              <w:t xml:space="preserve">Operating margin</w:t>
            </w:r>
          </w:p>
        </w:tc>
      </w:tr>
      <w:tr>
        <w:tc>
          <w:tcPr>
            <w:tcW w:type="dxa" w:w="3260"/>
            <w:tcMar>
              <w:top w:type="dxa" w:w="80"/>
              <w:left w:type="dxa" w:w="120"/>
              <w:bottom w:type="dxa" w:w="80"/>
              <w:right w:type="dxa" w:w="120"/>
            </w:tcMar>
          </w:tcPr>
          <w:p>
            <w:pPr>
              <w:spacing w:after="0" w:line="260"/>
              <w:jc w:val="left"/>
            </w:pPr>
            <w:r>
              <w:rPr>
                <w:rFonts w:ascii="Arial" w:cs="Arial" w:eastAsia="Arial" w:hAnsi="Arial"/>
                <w:sz w:val="20"/>
                <w:szCs w:val="20"/>
              </w:rPr>
              <w:t xml:space="preserve">Merchant silicon</w:t>
            </w:r>
          </w:p>
        </w:tc>
        <w:tc>
          <w:tcPr>
            <w:tcW w:type="dxa" w:w="3100"/>
            <w:tcMar>
              <w:top w:type="dxa" w:w="80"/>
              <w:left w:type="dxa" w:w="120"/>
              <w:bottom w:type="dxa" w:w="80"/>
              <w:right w:type="dxa" w:w="120"/>
            </w:tcMar>
          </w:tcPr>
          <w:p>
            <w:pPr>
              <w:spacing w:after="0" w:line="260"/>
              <w:jc w:val="left"/>
            </w:pPr>
            <w:r>
              <w:rPr>
                <w:rFonts w:ascii="Arial" w:cs="Arial" w:eastAsia="Arial" w:hAnsi="Arial"/>
                <w:sz w:val="20"/>
                <w:szCs w:val="20"/>
              </w:rPr>
              <w:t xml:space="preserve">Broadcom FY2025</w:t>
            </w:r>
          </w:p>
        </w:tc>
        <w:tc>
          <w:tcPr>
            <w:tcW w:type="dxa" w:w="1500"/>
            <w:tcMar>
              <w:top w:type="dxa" w:w="80"/>
              <w:left w:type="dxa" w:w="120"/>
              <w:bottom w:type="dxa" w:w="80"/>
              <w:right w:type="dxa" w:w="120"/>
            </w:tcMar>
          </w:tcPr>
          <w:p>
            <w:pPr>
              <w:spacing w:after="0" w:line="260"/>
              <w:jc w:val="right"/>
            </w:pPr>
            <w:r>
              <w:rPr>
                <w:rFonts w:ascii="Arial" w:cs="Arial" w:eastAsia="Arial" w:hAnsi="Arial"/>
                <w:sz w:val="20"/>
                <w:szCs w:val="20"/>
              </w:rPr>
              <w:t xml:space="preserve">67.8%</w:t>
            </w:r>
          </w:p>
        </w:tc>
        <w:tc>
          <w:tcPr>
            <w:tcW w:type="dxa" w:w="1500"/>
            <w:tcMar>
              <w:top w:type="dxa" w:w="80"/>
              <w:left w:type="dxa" w:w="120"/>
              <w:bottom w:type="dxa" w:w="80"/>
              <w:right w:type="dxa" w:w="120"/>
            </w:tcMar>
          </w:tcPr>
          <w:p>
            <w:pPr>
              <w:spacing w:after="0" w:line="260"/>
              <w:jc w:val="right"/>
            </w:pPr>
            <w:r>
              <w:rPr>
                <w:rFonts w:ascii="Arial" w:cs="Arial" w:eastAsia="Arial" w:hAnsi="Arial"/>
                <w:sz w:val="20"/>
                <w:szCs w:val="20"/>
              </w:rPr>
              <w:t xml:space="preserve">39.9%</w:t>
            </w:r>
          </w:p>
        </w:tc>
      </w:tr>
      <w:tr>
        <w:tc>
          <w:tcPr>
            <w:tcW w:type="dxa" w:w="3260"/>
            <w:shd w:fill="F2F4F8" w:color="auto" w:val="clear"/>
            <w:tcMar>
              <w:top w:type="dxa" w:w="80"/>
              <w:left w:type="dxa" w:w="120"/>
              <w:bottom w:type="dxa" w:w="80"/>
              <w:right w:type="dxa" w:w="120"/>
            </w:tcMar>
          </w:tcPr>
          <w:p>
            <w:pPr>
              <w:spacing w:after="0" w:line="260"/>
              <w:jc w:val="left"/>
            </w:pPr>
            <w:r>
              <w:rPr>
                <w:rFonts w:ascii="Arial" w:cs="Arial" w:eastAsia="Arial" w:hAnsi="Arial"/>
                <w:sz w:val="20"/>
                <w:szCs w:val="20"/>
              </w:rPr>
              <w:t xml:space="preserve">Merchant silicon</w:t>
            </w:r>
          </w:p>
        </w:tc>
        <w:tc>
          <w:tcPr>
            <w:tcW w:type="dxa" w:w="3100"/>
            <w:shd w:fill="F2F4F8" w:color="auto" w:val="clear"/>
            <w:tcMar>
              <w:top w:type="dxa" w:w="80"/>
              <w:left w:type="dxa" w:w="120"/>
              <w:bottom w:type="dxa" w:w="80"/>
              <w:right w:type="dxa" w:w="120"/>
            </w:tcMar>
          </w:tcPr>
          <w:p>
            <w:pPr>
              <w:spacing w:after="0" w:line="260"/>
              <w:jc w:val="left"/>
            </w:pPr>
            <w:r>
              <w:rPr>
                <w:rFonts w:ascii="Arial" w:cs="Arial" w:eastAsia="Arial" w:hAnsi="Arial"/>
                <w:sz w:val="20"/>
                <w:szCs w:val="20"/>
              </w:rPr>
              <w:t xml:space="preserve">Marvell FY2026 (non-GAAP)</w:t>
            </w:r>
          </w:p>
        </w:tc>
        <w:tc>
          <w:tcPr>
            <w:tcW w:type="dxa" w:w="1500"/>
            <w:shd w:fill="F2F4F8" w:color="auto" w:val="clear"/>
            <w:tcMar>
              <w:top w:type="dxa" w:w="80"/>
              <w:left w:type="dxa" w:w="120"/>
              <w:bottom w:type="dxa" w:w="80"/>
              <w:right w:type="dxa" w:w="120"/>
            </w:tcMar>
          </w:tcPr>
          <w:p>
            <w:pPr>
              <w:spacing w:after="0" w:line="260"/>
              <w:jc w:val="right"/>
            </w:pPr>
            <w:r>
              <w:rPr>
                <w:rFonts w:ascii="Arial" w:cs="Arial" w:eastAsia="Arial" w:hAnsi="Arial"/>
                <w:sz w:val="20"/>
                <w:szCs w:val="20"/>
              </w:rPr>
              <w:t xml:space="preserve">59.5%</w:t>
            </w:r>
          </w:p>
        </w:tc>
        <w:tc>
          <w:tcPr>
            <w:tcW w:type="dxa" w:w="1500"/>
            <w:shd w:fill="F2F4F8" w:color="auto" w:val="clear"/>
            <w:tcMar>
              <w:top w:type="dxa" w:w="80"/>
              <w:left w:type="dxa" w:w="120"/>
              <w:bottom w:type="dxa" w:w="80"/>
              <w:right w:type="dxa" w:w="120"/>
            </w:tcMar>
          </w:tcPr>
          <w:p>
            <w:pPr>
              <w:spacing w:after="0" w:line="260"/>
              <w:jc w:val="right"/>
            </w:pPr>
            <w:r>
              <w:rPr>
                <w:rFonts w:ascii="Arial" w:cs="Arial" w:eastAsia="Arial" w:hAnsi="Arial"/>
                <w:sz w:val="20"/>
                <w:szCs w:val="20"/>
              </w:rPr>
              <w:t xml:space="preserve">35.3%</w:t>
            </w:r>
          </w:p>
        </w:tc>
      </w:tr>
      <w:tr>
        <w:tc>
          <w:tcPr>
            <w:tcW w:type="dxa" w:w="3260"/>
            <w:tcMar>
              <w:top w:type="dxa" w:w="80"/>
              <w:left w:type="dxa" w:w="120"/>
              <w:bottom w:type="dxa" w:w="80"/>
              <w:right w:type="dxa" w:w="120"/>
            </w:tcMar>
          </w:tcPr>
          <w:p>
            <w:pPr>
              <w:spacing w:after="0" w:line="260"/>
              <w:jc w:val="left"/>
            </w:pPr>
            <w:r>
              <w:rPr>
                <w:rFonts w:ascii="Arial" w:cs="Arial" w:eastAsia="Arial" w:hAnsi="Arial"/>
                <w:sz w:val="20"/>
                <w:szCs w:val="20"/>
              </w:rPr>
              <w:t xml:space="preserve">Modules and components</w:t>
            </w:r>
          </w:p>
        </w:tc>
        <w:tc>
          <w:tcPr>
            <w:tcW w:type="dxa" w:w="3100"/>
            <w:tcMar>
              <w:top w:type="dxa" w:w="80"/>
              <w:left w:type="dxa" w:w="120"/>
              <w:bottom w:type="dxa" w:w="80"/>
              <w:right w:type="dxa" w:w="120"/>
            </w:tcMar>
          </w:tcPr>
          <w:p>
            <w:pPr>
              <w:spacing w:after="0" w:line="260"/>
              <w:jc w:val="left"/>
            </w:pPr>
            <w:r>
              <w:rPr>
                <w:rFonts w:ascii="Arial" w:cs="Arial" w:eastAsia="Arial" w:hAnsi="Arial"/>
                <w:sz w:val="20"/>
                <w:szCs w:val="20"/>
              </w:rPr>
              <w:t xml:space="preserve">Lumentum FY2026</w:t>
            </w:r>
          </w:p>
        </w:tc>
        <w:tc>
          <w:tcPr>
            <w:tcW w:type="dxa" w:w="1500"/>
            <w:tcMar>
              <w:top w:type="dxa" w:w="80"/>
              <w:left w:type="dxa" w:w="120"/>
              <w:bottom w:type="dxa" w:w="80"/>
              <w:right w:type="dxa" w:w="120"/>
            </w:tcMar>
          </w:tcPr>
          <w:p>
            <w:pPr>
              <w:spacing w:after="0" w:line="260"/>
              <w:jc w:val="right"/>
            </w:pPr>
            <w:r>
              <w:rPr>
                <w:rFonts w:ascii="Arial" w:cs="Arial" w:eastAsia="Arial" w:hAnsi="Arial"/>
                <w:sz w:val="20"/>
                <w:szCs w:val="20"/>
              </w:rPr>
              <w:t xml:space="preserve">41.7%</w:t>
            </w:r>
          </w:p>
        </w:tc>
        <w:tc>
          <w:tcPr>
            <w:tcW w:type="dxa" w:w="1500"/>
            <w:tcMar>
              <w:top w:type="dxa" w:w="80"/>
              <w:left w:type="dxa" w:w="120"/>
              <w:bottom w:type="dxa" w:w="80"/>
              <w:right w:type="dxa" w:w="120"/>
            </w:tcMar>
          </w:tcPr>
          <w:p>
            <w:pPr>
              <w:spacing w:after="0" w:line="260"/>
              <w:jc w:val="right"/>
            </w:pPr>
            <w:r>
              <w:rPr>
                <w:rFonts w:ascii="Arial" w:cs="Arial" w:eastAsia="Arial" w:hAnsi="Arial"/>
                <w:sz w:val="20"/>
                <w:szCs w:val="20"/>
              </w:rPr>
              <w:t xml:space="preserve">17.4%</w:t>
            </w:r>
          </w:p>
        </w:tc>
      </w:tr>
      <w:tr>
        <w:tc>
          <w:tcPr>
            <w:tcW w:type="dxa" w:w="3260"/>
            <w:shd w:fill="F2F4F8" w:color="auto" w:val="clear"/>
            <w:tcMar>
              <w:top w:type="dxa" w:w="80"/>
              <w:left w:type="dxa" w:w="120"/>
              <w:bottom w:type="dxa" w:w="80"/>
              <w:right w:type="dxa" w:w="120"/>
            </w:tcMar>
          </w:tcPr>
          <w:p>
            <w:pPr>
              <w:spacing w:after="0" w:line="260"/>
              <w:jc w:val="left"/>
            </w:pPr>
            <w:r>
              <w:rPr>
                <w:rFonts w:ascii="Arial" w:cs="Arial" w:eastAsia="Arial" w:hAnsi="Arial"/>
                <w:sz w:val="20"/>
                <w:szCs w:val="20"/>
              </w:rPr>
              <w:t xml:space="preserve">Transport systems</w:t>
            </w:r>
          </w:p>
        </w:tc>
        <w:tc>
          <w:tcPr>
            <w:tcW w:type="dxa" w:w="3100"/>
            <w:shd w:fill="F2F4F8" w:color="auto" w:val="clear"/>
            <w:tcMar>
              <w:top w:type="dxa" w:w="80"/>
              <w:left w:type="dxa" w:w="120"/>
              <w:bottom w:type="dxa" w:w="80"/>
              <w:right w:type="dxa" w:w="120"/>
            </w:tcMar>
          </w:tcPr>
          <w:p>
            <w:pPr>
              <w:spacing w:after="0" w:line="260"/>
              <w:jc w:val="left"/>
            </w:pPr>
            <w:r>
              <w:rPr>
                <w:rFonts w:ascii="Arial" w:cs="Arial" w:eastAsia="Arial" w:hAnsi="Arial"/>
                <w:sz w:val="20"/>
                <w:szCs w:val="20"/>
              </w:rPr>
              <w:t xml:space="preserve">Ciena FY2025</w:t>
            </w:r>
          </w:p>
        </w:tc>
        <w:tc>
          <w:tcPr>
            <w:tcW w:type="dxa" w:w="1500"/>
            <w:shd w:fill="F2F4F8" w:color="auto" w:val="clear"/>
            <w:tcMar>
              <w:top w:type="dxa" w:w="80"/>
              <w:left w:type="dxa" w:w="120"/>
              <w:bottom w:type="dxa" w:w="80"/>
              <w:right w:type="dxa" w:w="120"/>
            </w:tcMar>
          </w:tcPr>
          <w:p>
            <w:pPr>
              <w:spacing w:after="0" w:line="260"/>
              <w:jc w:val="right"/>
            </w:pPr>
            <w:r>
              <w:rPr>
                <w:rFonts w:ascii="Arial" w:cs="Arial" w:eastAsia="Arial" w:hAnsi="Arial"/>
                <w:sz w:val="20"/>
                <w:szCs w:val="20"/>
              </w:rPr>
              <w:t xml:space="preserve">42.0%</w:t>
            </w:r>
          </w:p>
        </w:tc>
        <w:tc>
          <w:tcPr>
            <w:tcW w:type="dxa" w:w="1500"/>
            <w:shd w:fill="F2F4F8" w:color="auto" w:val="clear"/>
            <w:tcMar>
              <w:top w:type="dxa" w:w="80"/>
              <w:left w:type="dxa" w:w="120"/>
              <w:bottom w:type="dxa" w:w="80"/>
              <w:right w:type="dxa" w:w="120"/>
            </w:tcMar>
          </w:tcPr>
          <w:p>
            <w:pPr>
              <w:spacing w:after="0" w:line="260"/>
              <w:jc w:val="right"/>
            </w:pPr>
            <w:r>
              <w:rPr>
                <w:rFonts w:ascii="Arial" w:cs="Arial" w:eastAsia="Arial" w:hAnsi="Arial"/>
                <w:sz w:val="20"/>
                <w:szCs w:val="20"/>
              </w:rPr>
              <w:t xml:space="preserve">4.1%</w:t>
            </w:r>
          </w:p>
        </w:tc>
      </w:tr>
      <w:tr>
        <w:tc>
          <w:tcPr>
            <w:tcW w:type="dxa" w:w="3260"/>
            <w:tcMar>
              <w:top w:type="dxa" w:w="80"/>
              <w:left w:type="dxa" w:w="120"/>
              <w:bottom w:type="dxa" w:w="80"/>
              <w:right w:type="dxa" w:w="120"/>
            </w:tcMar>
          </w:tcPr>
          <w:p>
            <w:pPr>
              <w:spacing w:after="0" w:line="260"/>
              <w:jc w:val="left"/>
            </w:pPr>
            <w:r>
              <w:rPr>
                <w:rFonts w:ascii="Arial" w:cs="Arial" w:eastAsia="Arial" w:hAnsi="Arial"/>
                <w:sz w:val="20"/>
                <w:szCs w:val="20"/>
              </w:rPr>
              <w:t xml:space="preserve">Transport systems</w:t>
            </w:r>
          </w:p>
        </w:tc>
        <w:tc>
          <w:tcPr>
            <w:tcW w:type="dxa" w:w="3100"/>
            <w:tcMar>
              <w:top w:type="dxa" w:w="80"/>
              <w:left w:type="dxa" w:w="120"/>
              <w:bottom w:type="dxa" w:w="80"/>
              <w:right w:type="dxa" w:w="120"/>
            </w:tcMar>
          </w:tcPr>
          <w:p>
            <w:pPr>
              <w:spacing w:after="0" w:line="260"/>
              <w:jc w:val="left"/>
            </w:pPr>
            <w:r>
              <w:rPr>
                <w:rFonts w:ascii="Arial" w:cs="Arial" w:eastAsia="Arial" w:hAnsi="Arial"/>
                <w:sz w:val="20"/>
                <w:szCs w:val="20"/>
              </w:rPr>
              <w:t xml:space="preserve">Nokia Network Infrastructure FY2025</w:t>
            </w:r>
          </w:p>
        </w:tc>
        <w:tc>
          <w:tcPr>
            <w:tcW w:type="dxa" w:w="1500"/>
            <w:tcMar>
              <w:top w:type="dxa" w:w="80"/>
              <w:left w:type="dxa" w:w="120"/>
              <w:bottom w:type="dxa" w:w="80"/>
              <w:right w:type="dxa" w:w="120"/>
            </w:tcMar>
          </w:tcPr>
          <w:p>
            <w:pPr>
              <w:spacing w:after="0" w:line="260"/>
              <w:jc w:val="right"/>
            </w:pPr>
            <w:r>
              <w:rPr>
                <w:rFonts w:ascii="Arial" w:cs="Arial" w:eastAsia="Arial" w:hAnsi="Arial"/>
                <w:sz w:val="20"/>
                <w:szCs w:val="20"/>
              </w:rPr>
              <w:t xml:space="preserve">n/d</w:t>
            </w:r>
          </w:p>
        </w:tc>
        <w:tc>
          <w:tcPr>
            <w:tcW w:type="dxa" w:w="1500"/>
            <w:tcMar>
              <w:top w:type="dxa" w:w="80"/>
              <w:left w:type="dxa" w:w="120"/>
              <w:bottom w:type="dxa" w:w="80"/>
              <w:right w:type="dxa" w:w="120"/>
            </w:tcMar>
          </w:tcPr>
          <w:p>
            <w:pPr>
              <w:spacing w:after="0" w:line="260"/>
              <w:jc w:val="right"/>
            </w:pPr>
            <w:r>
              <w:rPr>
                <w:rFonts w:ascii="Arial" w:cs="Arial" w:eastAsia="Arial" w:hAnsi="Arial"/>
                <w:sz w:val="20"/>
                <w:szCs w:val="20"/>
              </w:rPr>
              <w:t xml:space="preserve">9.8%</w:t>
            </w:r>
          </w:p>
        </w:tc>
      </w:tr>
      <w:tr>
        <w:tc>
          <w:tcPr>
            <w:tcW w:type="dxa" w:w="3260"/>
            <w:shd w:fill="F2F4F8" w:color="auto" w:val="clear"/>
            <w:tcMar>
              <w:top w:type="dxa" w:w="80"/>
              <w:left w:type="dxa" w:w="120"/>
              <w:bottom w:type="dxa" w:w="80"/>
              <w:right w:type="dxa" w:w="120"/>
            </w:tcMar>
          </w:tcPr>
          <w:p>
            <w:pPr>
              <w:spacing w:after="0" w:line="260"/>
              <w:jc w:val="left"/>
            </w:pPr>
            <w:r>
              <w:rPr>
                <w:rFonts w:ascii="Arial" w:cs="Arial" w:eastAsia="Arial" w:hAnsi="Arial"/>
                <w:sz w:val="20"/>
                <w:szCs w:val="20"/>
              </w:rPr>
              <w:t xml:space="preserve">Transport systems</w:t>
            </w:r>
          </w:p>
        </w:tc>
        <w:tc>
          <w:tcPr>
            <w:tcW w:type="dxa" w:w="3100"/>
            <w:shd w:fill="F2F4F8" w:color="auto" w:val="clear"/>
            <w:tcMar>
              <w:top w:type="dxa" w:w="80"/>
              <w:left w:type="dxa" w:w="120"/>
              <w:bottom w:type="dxa" w:w="80"/>
              <w:right w:type="dxa" w:w="120"/>
            </w:tcMar>
          </w:tcPr>
          <w:p>
            <w:pPr>
              <w:spacing w:after="0" w:line="260"/>
              <w:jc w:val="left"/>
            </w:pPr>
            <w:r>
              <w:rPr>
                <w:rFonts w:ascii="Arial" w:cs="Arial" w:eastAsia="Arial" w:hAnsi="Arial"/>
                <w:sz w:val="20"/>
                <w:szCs w:val="20"/>
              </w:rPr>
              <w:t xml:space="preserve">ADTRAN FY2025</w:t>
            </w:r>
          </w:p>
        </w:tc>
        <w:tc>
          <w:tcPr>
            <w:tcW w:type="dxa" w:w="1500"/>
            <w:shd w:fill="F2F4F8" w:color="auto" w:val="clear"/>
            <w:tcMar>
              <w:top w:type="dxa" w:w="80"/>
              <w:left w:type="dxa" w:w="120"/>
              <w:bottom w:type="dxa" w:w="80"/>
              <w:right w:type="dxa" w:w="120"/>
            </w:tcMar>
          </w:tcPr>
          <w:p>
            <w:pPr>
              <w:spacing w:after="0" w:line="260"/>
              <w:jc w:val="right"/>
            </w:pPr>
            <w:r>
              <w:rPr>
                <w:rFonts w:ascii="Arial" w:cs="Arial" w:eastAsia="Arial" w:hAnsi="Arial"/>
                <w:sz w:val="20"/>
                <w:szCs w:val="20"/>
              </w:rPr>
              <w:t xml:space="preserve">38.3%</w:t>
            </w:r>
          </w:p>
        </w:tc>
        <w:tc>
          <w:tcPr>
            <w:tcW w:type="dxa" w:w="1500"/>
            <w:shd w:fill="F2F4F8" w:color="auto" w:val="clear"/>
            <w:tcMar>
              <w:top w:type="dxa" w:w="80"/>
              <w:left w:type="dxa" w:w="120"/>
              <w:bottom w:type="dxa" w:w="80"/>
              <w:right w:type="dxa" w:w="120"/>
            </w:tcMar>
          </w:tcPr>
          <w:p>
            <w:pPr>
              <w:spacing w:after="0" w:line="260"/>
              <w:jc w:val="right"/>
            </w:pPr>
            <w:r>
              <w:rPr>
                <w:rFonts w:ascii="Arial" w:cs="Arial" w:eastAsia="Arial" w:hAnsi="Arial"/>
                <w:sz w:val="20"/>
                <w:szCs w:val="20"/>
              </w:rPr>
              <w:t xml:space="preserve">(1.4)%</w:t>
            </w:r>
          </w:p>
        </w:tc>
      </w:tr>
      <w:tr>
        <w:tc>
          <w:tcPr>
            <w:tcW w:type="dxa" w:w="3260"/>
            <w:tcMar>
              <w:top w:type="dxa" w:w="80"/>
              <w:left w:type="dxa" w:w="120"/>
              <w:bottom w:type="dxa" w:w="80"/>
              <w:right w:type="dxa" w:w="120"/>
            </w:tcMar>
          </w:tcPr>
          <w:p>
            <w:pPr>
              <w:spacing w:after="0" w:line="260"/>
              <w:jc w:val="left"/>
            </w:pPr>
            <w:r>
              <w:rPr>
                <w:rFonts w:ascii="Arial" w:cs="Arial" w:eastAsia="Arial" w:hAnsi="Arial"/>
                <w:sz w:val="20"/>
                <w:szCs w:val="20"/>
              </w:rPr>
              <w:t xml:space="preserve">Contract manufacture</w:t>
            </w:r>
          </w:p>
        </w:tc>
        <w:tc>
          <w:tcPr>
            <w:tcW w:type="dxa" w:w="3100"/>
            <w:tcMar>
              <w:top w:type="dxa" w:w="80"/>
              <w:left w:type="dxa" w:w="120"/>
              <w:bottom w:type="dxa" w:w="80"/>
              <w:right w:type="dxa" w:w="120"/>
            </w:tcMar>
          </w:tcPr>
          <w:p>
            <w:pPr>
              <w:spacing w:after="0" w:line="260"/>
              <w:jc w:val="left"/>
            </w:pPr>
            <w:r>
              <w:rPr>
                <w:rFonts w:ascii="Arial" w:cs="Arial" w:eastAsia="Arial" w:hAnsi="Arial"/>
                <w:sz w:val="20"/>
                <w:szCs w:val="20"/>
              </w:rPr>
              <w:t xml:space="preserve">Fabrinet FY2026</w:t>
            </w:r>
          </w:p>
        </w:tc>
        <w:tc>
          <w:tcPr>
            <w:tcW w:type="dxa" w:w="1500"/>
            <w:tcMar>
              <w:top w:type="dxa" w:w="80"/>
              <w:left w:type="dxa" w:w="120"/>
              <w:bottom w:type="dxa" w:w="80"/>
              <w:right w:type="dxa" w:w="120"/>
            </w:tcMar>
          </w:tcPr>
          <w:p>
            <w:pPr>
              <w:spacing w:after="0" w:line="260"/>
              <w:jc w:val="right"/>
            </w:pPr>
            <w:r>
              <w:rPr>
                <w:rFonts w:ascii="Arial" w:cs="Arial" w:eastAsia="Arial" w:hAnsi="Arial"/>
                <w:sz w:val="20"/>
                <w:szCs w:val="20"/>
              </w:rPr>
              <w:t xml:space="preserve">12.0%</w:t>
            </w:r>
          </w:p>
        </w:tc>
        <w:tc>
          <w:tcPr>
            <w:tcW w:type="dxa" w:w="1500"/>
            <w:tcMar>
              <w:top w:type="dxa" w:w="80"/>
              <w:left w:type="dxa" w:w="120"/>
              <w:bottom w:type="dxa" w:w="80"/>
              <w:right w:type="dxa" w:w="120"/>
            </w:tcMar>
          </w:tcPr>
          <w:p>
            <w:pPr>
              <w:spacing w:after="0" w:line="260"/>
              <w:jc w:val="right"/>
            </w:pPr>
            <w:r>
              <w:rPr>
                <w:rFonts w:ascii="Arial" w:cs="Arial" w:eastAsia="Arial" w:hAnsi="Arial"/>
                <w:sz w:val="20"/>
                <w:szCs w:val="20"/>
              </w:rPr>
              <w:t xml:space="preserve">10.0%</w:t>
            </w:r>
          </w:p>
        </w:tc>
      </w:tr>
    </w:tbl>
    <w:p>
      <w:pPr>
        <w:spacing w:after="200" w:before="80"/>
      </w:pPr>
      <w:r>
        <w:rPr>
          <w:rFonts w:ascii="Arial" w:cs="Arial" w:eastAsia="Arial" w:hAnsi="Arial"/>
          <w:i/>
          <w:iCs/>
          <w:color w:val="595959"/>
          <w:sz w:val="18"/>
          <w:szCs w:val="18"/>
        </w:rPr>
        <w:t xml:space="preserve">GAAP unless stated. Sources: each company's own results release for the fiscal year named. Nokia's Network Infrastructure figure is its reported comparable operating margin. Infinera's last standalone year, FY2024, was a (5.9)% operating margin on $1,418.4m of revenue.</w:t>
      </w:r>
    </w:p>
    <w:p>
      <w:pPr>
        <w:spacing w:after="140" w:line="276"/>
      </w:pPr>
      <w:r>
        <w:rPr>
          <w:rFonts w:ascii="Arial" w:cs="Arial" w:eastAsia="Arial" w:hAnsi="Arial"/>
          <w:sz w:val="22"/>
          <w:szCs w:val="22"/>
        </w:rPr>
        <w:t xml:space="preserve">The system vendors sit in the worst part of this chain, and the mechanism is visible in the numbers above. Ciena earns a 42.0% gross margin and converts almost none of it, because it spent $848.3m on R&amp;D in FY2025 — 17.8% of revenue — to keep a coherent modem roadmap current. Fabrinet earns a 12.0% gross margin and converts most of it, because contract manufacturing carries almost no R&amp;D. Broadcom and Marvell earn 35-40% operating margins because a DSP design is amortised across every customer that buys it, including Ciena's competitors. Profit accrues where fixed development cost is spread over the largest unit volume, not where the gross margin is highest.</w:t>
      </w:r>
    </w:p>
    <w:p>
      <w:pPr>
        <w:pStyle w:val="Heading2"/>
        <w:spacing w:after="180" w:before="180"/>
      </w:pPr>
      <w:r>
        <w:rPr>
          <w:rFonts w:ascii="Arial" w:cs="Arial" w:eastAsia="Arial" w:hAnsi="Arial"/>
          <w:b/>
          <w:bCs/>
          <w:color w:val="1F3864"/>
          <w:sz w:val="28"/>
          <w:szCs w:val="28"/>
        </w:rPr>
        <w:t xml:space="preserve">Structure, and which barriers actually bind</w:t>
      </w:r>
    </w:p>
    <w:p>
      <w:pPr>
        <w:spacing w:after="140" w:line="276"/>
      </w:pPr>
      <w:r>
        <w:rPr>
          <w:rFonts w:ascii="Arial" w:cs="Arial" w:eastAsia="Arial" w:hAnsi="Arial"/>
          <w:sz w:val="22"/>
          <w:szCs w:val="22"/>
        </w:rPr>
        <w:t xml:space="preserve">The market is a concentrated oligopoly with a geographic fault line running through it. In FY2024 Dell'Oro put Huawei at 33% of global revenue, Ciena at 19%, and Nokia plus Infinera at a combined 19% (25 Feb 2025); the 2025 ranking is Huawei, Ciena, Nokia, ZTE, Cisco, with the top four holding over 80% between them (Dell'Oro, 19 May 2026). But Huawei's share is concentrated in China and non-Western markets and is effectively closed to Western vendors, while North America alone is more than 40% of global revenue (Dell'Oro, 21 Aug 2026). Global share understates what Ciena holds in the pool it can actually compete for — though no published source quantifies that adjusted share, so the point remains an inference rather than a figure.</w:t>
      </w:r>
    </w:p>
    <w:p>
      <w:pPr>
        <w:spacing w:after="140" w:line="276"/>
      </w:pPr>
      <w:r>
        <w:rPr>
          <w:rFonts w:ascii="Arial" w:cs="Arial" w:eastAsia="Arial" w:hAnsi="Arial"/>
          <w:sz w:val="22"/>
          <w:szCs w:val="22"/>
        </w:rPr>
        <w:t xml:space="preserve">Of the barriers Ciena and its peers describe, one binds hard and one is eroding. The hard one is coherent DSP design: Cignal AI identifies only six firms developing coherent DSPs — Acacia (Cisco) and Marvell selling merchant silicon, and Ciena, Huawei, Infinera and Nokia building captive (30 Apr 2026). Development cost rises with each generation, and no published figure exists for what a generation costs; Ciena's $848m annual R&amp;D is the best available proxy. The eroding one is the system bundle itself. Ciena's own FY2025 10-K states that operators "may use a line system from one vendor and modem technology from a different vendor," and that with pluggable modems "a network operator can purchase the switch or routing platform from one vendor and modem technology from a different vendor." The hedge Ciena used in FY2021 — that adoption of these approaches "has been limited to date" — is gone from the FY2025 filing.</w:t>
      </w:r>
    </w:p>
    <w:p>
      <w:pPr>
        <w:spacing w:after="140" w:line="276"/>
      </w:pPr>
      <w:r>
        <w:rPr>
          <w:rFonts w:ascii="Arial" w:cs="Arial" w:eastAsia="Arial" w:hAnsi="Arial"/>
          <w:sz w:val="22"/>
          <w:szCs w:val="22"/>
        </w:rPr>
        <w:t xml:space="preserve">The erosion is real and large. Disaggregated WDM was around 40% of total market revenue in the first nine months of 2025 (Dell'Oro, 17 Dec 2025), and disaggregated optical line system revenue grew 80% year on year in the second quarter of 2026. Standalone coherent pluggables reached $1.8bn in 2025, up 37%, and now carry more than half of all WDM bandwidth shipped (Cignal AI, 16 Apr 2026). That last pair of numbers is the whole competitive question in one line: more than half of the bandwidth moves on a format that generates roughly 11% of the industry's revenue. Bandwidth is migrating to a product that monetises at roughly a fifth of the revenue intensity of the embedded systems it replaces.</w:t>
      </w:r>
    </w:p>
    <w:p>
      <w:pPr>
        <w:spacing w:after="140" w:line="276"/>
      </w:pPr>
      <w:r>
        <w:rPr>
          <w:rFonts w:ascii="Arial" w:cs="Arial" w:eastAsia="Arial" w:hAnsi="Arial"/>
          <w:sz w:val="22"/>
          <w:szCs w:val="22"/>
        </w:rPr>
        <w:t xml:space="preserve">What has saved the incumbents so far is that they are winning the disaggregation rather than losing to it. Dell'Oro names Ciena and Nokia as the leading suppliers of disaggregated optical line systems, and puts Ciena at roughly 40% of the disaggregated WDM segment, forecast to compound at 17% to about $13bn by 2030 (16 Jun 2026). Ciena and Nokia each gained about two share points in 2025 (Cignal AI, 16 Apr 2026). The vendors that buy merchant silicon and lack that line-system position — ADTRAN at a 1.4% operating loss, Ribbon at breakeven — are the ones the format has hurt.</w:t>
      </w:r>
    </w:p>
    <w:p>
      <w:pPr>
        <w:pStyle w:val="Heading2"/>
        <w:spacing w:after="180" w:before="180"/>
      </w:pPr>
      <w:r>
        <w:rPr>
          <w:rFonts w:ascii="Arial" w:cs="Arial" w:eastAsia="Arial" w:hAnsi="Arial"/>
          <w:b/>
          <w:bCs/>
          <w:color w:val="1F3864"/>
          <w:sz w:val="28"/>
          <w:szCs w:val="28"/>
        </w:rPr>
        <w:t xml:space="preserve">Testing what Ciena says about itself</w:t>
      </w:r>
    </w:p>
    <w:p>
      <w:pPr>
        <w:spacing w:after="140" w:line="276"/>
      </w:pPr>
      <w:r>
        <w:rPr>
          <w:rFonts w:ascii="Arial" w:cs="Arial" w:eastAsia="Arial" w:hAnsi="Arial"/>
          <w:sz w:val="22"/>
          <w:szCs w:val="22"/>
        </w:rPr>
        <w:t xml:space="preserve">Ciena's 10-K makes no quantified market-share claim anywhere. It asserts "global leadership in optical networking" and an "industry-leading portfolio," and lists "incumbency" among the competitive factors that decide deals. Against independent evidence, those claims hold unevenly.</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2900"/>
        <w:gridCol w:w="1700"/>
        <w:gridCol w:w="4760"/>
      </w:tblGrid>
      <w:tr>
        <w:trPr>
          <w:tblHeader/>
        </w:trPr>
        <w:tc>
          <w:tcPr>
            <w:tcW w:type="dxa" w:w="2900"/>
            <w:shd w:fill="1F3864" w:color="auto" w:val="clear"/>
            <w:tcMar>
              <w:top w:type="dxa" w:w="80"/>
              <w:left w:type="dxa" w:w="120"/>
              <w:bottom w:type="dxa" w:w="80"/>
              <w:right w:type="dxa" w:w="120"/>
            </w:tcMar>
          </w:tcPr>
          <w:p>
            <w:pPr>
              <w:spacing w:after="0" w:line="260"/>
              <w:jc w:val="left"/>
            </w:pPr>
            <w:r>
              <w:rPr>
                <w:rFonts w:ascii="Arial" w:cs="Arial" w:eastAsia="Arial" w:hAnsi="Arial"/>
                <w:b/>
                <w:bCs/>
                <w:color w:val="FFFFFF"/>
                <w:sz w:val="20"/>
                <w:szCs w:val="20"/>
              </w:rPr>
              <w:t xml:space="preserve">Company claim</w:t>
            </w:r>
          </w:p>
        </w:tc>
        <w:tc>
          <w:tcPr>
            <w:tcW w:type="dxa" w:w="1700"/>
            <w:shd w:fill="1F3864" w:color="auto" w:val="clear"/>
            <w:tcMar>
              <w:top w:type="dxa" w:w="80"/>
              <w:left w:type="dxa" w:w="120"/>
              <w:bottom w:type="dxa" w:w="80"/>
              <w:right w:type="dxa" w:w="120"/>
            </w:tcMar>
          </w:tcPr>
          <w:p>
            <w:pPr>
              <w:spacing w:after="0" w:line="260"/>
              <w:jc w:val="left"/>
            </w:pPr>
            <w:r>
              <w:rPr>
                <w:rFonts w:ascii="Arial" w:cs="Arial" w:eastAsia="Arial" w:hAnsi="Arial"/>
                <w:b/>
                <w:bCs/>
                <w:color w:val="FFFFFF"/>
                <w:sz w:val="20"/>
                <w:szCs w:val="20"/>
              </w:rPr>
              <w:t xml:space="preserve">Verdict</w:t>
            </w:r>
          </w:p>
        </w:tc>
        <w:tc>
          <w:tcPr>
            <w:tcW w:type="dxa" w:w="4760"/>
            <w:shd w:fill="1F3864" w:color="auto" w:val="clear"/>
            <w:tcMar>
              <w:top w:type="dxa" w:w="80"/>
              <w:left w:type="dxa" w:w="120"/>
              <w:bottom w:type="dxa" w:w="80"/>
              <w:right w:type="dxa" w:w="120"/>
            </w:tcMar>
          </w:tcPr>
          <w:p>
            <w:pPr>
              <w:spacing w:after="0" w:line="260"/>
              <w:jc w:val="left"/>
            </w:pPr>
            <w:r>
              <w:rPr>
                <w:rFonts w:ascii="Arial" w:cs="Arial" w:eastAsia="Arial" w:hAnsi="Arial"/>
                <w:b/>
                <w:bCs/>
                <w:color w:val="FFFFFF"/>
                <w:sz w:val="20"/>
                <w:szCs w:val="20"/>
              </w:rPr>
              <w:t xml:space="preserve">Basis</w:t>
            </w:r>
          </w:p>
        </w:tc>
      </w:tr>
      <w:tr>
        <w:tc>
          <w:tcPr>
            <w:tcW w:type="dxa" w:w="2900"/>
            <w:tcMar>
              <w:top w:type="dxa" w:w="80"/>
              <w:left w:type="dxa" w:w="120"/>
              <w:bottom w:type="dxa" w:w="80"/>
              <w:right w:type="dxa" w:w="120"/>
            </w:tcMar>
          </w:tcPr>
          <w:p>
            <w:pPr>
              <w:spacing w:after="0" w:line="260"/>
              <w:jc w:val="left"/>
            </w:pPr>
            <w:r>
              <w:rPr>
                <w:rFonts w:ascii="Arial" w:cs="Arial" w:eastAsia="Arial" w:hAnsi="Arial"/>
                <w:sz w:val="20"/>
                <w:szCs w:val="20"/>
              </w:rPr>
              <w:t xml:space="preserve">Leading optical transport vendor in North America</w:t>
            </w:r>
          </w:p>
        </w:tc>
        <w:tc>
          <w:tcPr>
            <w:tcW w:type="dxa" w:w="1700"/>
            <w:tcMar>
              <w:top w:type="dxa" w:w="80"/>
              <w:left w:type="dxa" w:w="120"/>
              <w:bottom w:type="dxa" w:w="80"/>
              <w:right w:type="dxa" w:w="120"/>
            </w:tcMar>
          </w:tcPr>
          <w:p>
            <w:pPr>
              <w:spacing w:after="0" w:line="260"/>
              <w:jc w:val="left"/>
            </w:pPr>
            <w:r>
              <w:rPr>
                <w:rFonts w:ascii="Arial" w:cs="Arial" w:eastAsia="Arial" w:hAnsi="Arial"/>
                <w:sz w:val="20"/>
                <w:szCs w:val="20"/>
              </w:rPr>
              <w:t xml:space="preserve">Supports, indirectly</w:t>
            </w:r>
          </w:p>
        </w:tc>
        <w:tc>
          <w:tcPr>
            <w:tcW w:type="dxa" w:w="4760"/>
            <w:tcMar>
              <w:top w:type="dxa" w:w="80"/>
              <w:left w:type="dxa" w:w="120"/>
              <w:bottom w:type="dxa" w:w="80"/>
              <w:right w:type="dxa" w:w="120"/>
            </w:tcMar>
          </w:tcPr>
          <w:p>
            <w:pPr>
              <w:spacing w:after="0" w:line="260"/>
              <w:jc w:val="left"/>
            </w:pPr>
            <w:r>
              <w:rPr>
                <w:rFonts w:ascii="Arial" w:cs="Arial" w:eastAsia="Arial" w:hAnsi="Arial"/>
                <w:sz w:val="20"/>
                <w:szCs w:val="20"/>
              </w:rPr>
              <w:t xml:space="preserve">Ciena is #2 globally behind Huawei, which is absent from North America; NA is &gt;40% of the market; Ciena is #1 in DCI (Dell'Oro, 18 Feb and 21 Aug 2026). No published North American share percentage exists.</w:t>
            </w:r>
          </w:p>
        </w:tc>
      </w:tr>
      <w:tr>
        <w:tc>
          <w:tcPr>
            <w:tcW w:type="dxa" w:w="2900"/>
            <w:shd w:fill="F2F4F8" w:color="auto" w:val="clear"/>
            <w:tcMar>
              <w:top w:type="dxa" w:w="80"/>
              <w:left w:type="dxa" w:w="120"/>
              <w:bottom w:type="dxa" w:w="80"/>
              <w:right w:type="dxa" w:w="120"/>
            </w:tcMar>
          </w:tcPr>
          <w:p>
            <w:pPr>
              <w:spacing w:after="0" w:line="260"/>
              <w:jc w:val="left"/>
            </w:pPr>
            <w:r>
              <w:rPr>
                <w:rFonts w:ascii="Arial" w:cs="Arial" w:eastAsia="Arial" w:hAnsi="Arial"/>
                <w:sz w:val="20"/>
                <w:szCs w:val="20"/>
              </w:rPr>
              <w:t xml:space="preserve">WaveLogic 6 Extreme gives a lead in 1.6T coherent</w:t>
            </w:r>
          </w:p>
        </w:tc>
        <w:tc>
          <w:tcPr>
            <w:tcW w:type="dxa" w:w="1700"/>
            <w:shd w:fill="F2F4F8" w:color="auto" w:val="clear"/>
            <w:tcMar>
              <w:top w:type="dxa" w:w="80"/>
              <w:left w:type="dxa" w:w="120"/>
              <w:bottom w:type="dxa" w:w="80"/>
              <w:right w:type="dxa" w:w="120"/>
            </w:tcMar>
          </w:tcPr>
          <w:p>
            <w:pPr>
              <w:spacing w:after="0" w:line="260"/>
              <w:jc w:val="left"/>
            </w:pPr>
            <w:r>
              <w:rPr>
                <w:rFonts w:ascii="Arial" w:cs="Arial" w:eastAsia="Arial" w:hAnsi="Arial"/>
                <w:sz w:val="20"/>
                <w:szCs w:val="20"/>
              </w:rPr>
              <w:t xml:space="preserve">Partially supports</w:t>
            </w:r>
          </w:p>
        </w:tc>
        <w:tc>
          <w:tcPr>
            <w:tcW w:type="dxa" w:w="4760"/>
            <w:shd w:fill="F2F4F8" w:color="auto" w:val="clear"/>
            <w:tcMar>
              <w:top w:type="dxa" w:w="80"/>
              <w:left w:type="dxa" w:w="120"/>
              <w:bottom w:type="dxa" w:w="80"/>
              <w:right w:type="dxa" w:w="120"/>
            </w:tcMar>
          </w:tcPr>
          <w:p>
            <w:pPr>
              <w:spacing w:after="0" w:line="260"/>
              <w:jc w:val="left"/>
            </w:pPr>
            <w:r>
              <w:rPr>
                <w:rFonts w:ascii="Arial" w:cs="Arial" w:eastAsia="Arial" w:hAnsi="Arial"/>
                <w:sz w:val="20"/>
                <w:szCs w:val="20"/>
              </w:rPr>
              <w:t xml:space="preserve">First to announce 1.6T (Feb 2023) and first live-network trial (Arelion, Aug 2024), ahead of Nokia's ICE7 and Cisco's CIM8 at 1.2T. But Huawei is shipping 2.0T wavelengths with a European tier-1 deployment in progress (Dell'Oro, 31 Mar 2026), and six vendors shipped 1.2T-plus embedded modules in 2025. The lead is roughly one to two years, and Western-only.</w:t>
            </w:r>
          </w:p>
        </w:tc>
      </w:tr>
      <w:tr>
        <w:tc>
          <w:tcPr>
            <w:tcW w:type="dxa" w:w="2900"/>
            <w:tcMar>
              <w:top w:type="dxa" w:w="80"/>
              <w:left w:type="dxa" w:w="120"/>
              <w:bottom w:type="dxa" w:w="80"/>
              <w:right w:type="dxa" w:w="120"/>
            </w:tcMar>
          </w:tcPr>
          <w:p>
            <w:pPr>
              <w:spacing w:after="0" w:line="260"/>
              <w:jc w:val="left"/>
            </w:pPr>
            <w:r>
              <w:rPr>
                <w:rFonts w:ascii="Arial" w:cs="Arial" w:eastAsia="Arial" w:hAnsi="Arial"/>
                <w:sz w:val="20"/>
                <w:szCs w:val="20"/>
              </w:rPr>
              <w:t xml:space="preserve">Installed base makes Ciena hard to displace</w:t>
            </w:r>
          </w:p>
        </w:tc>
        <w:tc>
          <w:tcPr>
            <w:tcW w:type="dxa" w:w="1700"/>
            <w:tcMar>
              <w:top w:type="dxa" w:w="80"/>
              <w:left w:type="dxa" w:w="120"/>
              <w:bottom w:type="dxa" w:w="80"/>
              <w:right w:type="dxa" w:w="120"/>
            </w:tcMar>
          </w:tcPr>
          <w:p>
            <w:pPr>
              <w:spacing w:after="0" w:line="260"/>
              <w:jc w:val="left"/>
            </w:pPr>
            <w:r>
              <w:rPr>
                <w:rFonts w:ascii="Arial" w:cs="Arial" w:eastAsia="Arial" w:hAnsi="Arial"/>
                <w:sz w:val="20"/>
                <w:szCs w:val="20"/>
              </w:rPr>
              <w:t xml:space="preserve">Partially supports</w:t>
            </w:r>
          </w:p>
        </w:tc>
        <w:tc>
          <w:tcPr>
            <w:tcW w:type="dxa" w:w="4760"/>
            <w:tcMar>
              <w:top w:type="dxa" w:w="80"/>
              <w:left w:type="dxa" w:w="120"/>
              <w:bottom w:type="dxa" w:w="80"/>
              <w:right w:type="dxa" w:w="120"/>
            </w:tcMar>
          </w:tcPr>
          <w:p>
            <w:pPr>
              <w:spacing w:after="0" w:line="260"/>
              <w:jc w:val="left"/>
            </w:pPr>
            <w:r>
              <w:rPr>
                <w:rFonts w:ascii="Arial" w:cs="Arial" w:eastAsia="Arial" w:hAnsi="Arial"/>
                <w:sz w:val="20"/>
                <w:szCs w:val="20"/>
              </w:rPr>
              <w:t xml:space="preserve">~40% of disaggregated WDM and no publicly disclosed competitive loss in 18 months. But the lock-in demonstrably holds at the line-system layer, not at the modem layer, where Ciena is not among the ZR/ZR+ module share leaders — Cisco's Acacia is first and Marvell second (Dell'Oro, 16 Jun 2026).</w:t>
            </w:r>
          </w:p>
        </w:tc>
      </w:tr>
      <w:tr>
        <w:tc>
          <w:tcPr>
            <w:tcW w:type="dxa" w:w="2900"/>
            <w:shd w:fill="F2F4F8" w:color="auto" w:val="clear"/>
            <w:tcMar>
              <w:top w:type="dxa" w:w="80"/>
              <w:left w:type="dxa" w:w="120"/>
              <w:bottom w:type="dxa" w:w="80"/>
              <w:right w:type="dxa" w:w="120"/>
            </w:tcMar>
          </w:tcPr>
          <w:p>
            <w:pPr>
              <w:spacing w:after="0" w:line="260"/>
              <w:jc w:val="left"/>
            </w:pPr>
            <w:r>
              <w:rPr>
                <w:rFonts w:ascii="Arial" w:cs="Arial" w:eastAsia="Arial" w:hAnsi="Arial"/>
                <w:sz w:val="20"/>
                <w:szCs w:val="20"/>
              </w:rPr>
              <w:t xml:space="preserve">Cloud and AI demand is structural, not cyclical</w:t>
            </w:r>
          </w:p>
        </w:tc>
        <w:tc>
          <w:tcPr>
            <w:tcW w:type="dxa" w:w="1700"/>
            <w:shd w:fill="F2F4F8" w:color="auto" w:val="clear"/>
            <w:tcMar>
              <w:top w:type="dxa" w:w="80"/>
              <w:left w:type="dxa" w:w="120"/>
              <w:bottom w:type="dxa" w:w="80"/>
              <w:right w:type="dxa" w:w="120"/>
            </w:tcMar>
          </w:tcPr>
          <w:p>
            <w:pPr>
              <w:spacing w:after="0" w:line="260"/>
              <w:jc w:val="left"/>
            </w:pPr>
            <w:r>
              <w:rPr>
                <w:rFonts w:ascii="Arial" w:cs="Arial" w:eastAsia="Arial" w:hAnsi="Arial"/>
                <w:sz w:val="20"/>
                <w:szCs w:val="20"/>
              </w:rPr>
              <w:t xml:space="preserve">Unverified, leaning supportive</w:t>
            </w:r>
          </w:p>
        </w:tc>
        <w:tc>
          <w:tcPr>
            <w:tcW w:type="dxa" w:w="4760"/>
            <w:shd w:fill="F2F4F8" w:color="auto" w:val="clear"/>
            <w:tcMar>
              <w:top w:type="dxa" w:w="80"/>
              <w:left w:type="dxa" w:w="120"/>
              <w:bottom w:type="dxa" w:w="80"/>
              <w:right w:type="dxa" w:w="120"/>
            </w:tcMar>
          </w:tcPr>
          <w:p>
            <w:pPr>
              <w:spacing w:after="0" w:line="260"/>
              <w:jc w:val="left"/>
            </w:pPr>
            <w:r>
              <w:rPr>
                <w:rFonts w:ascii="Arial" w:cs="Arial" w:eastAsia="Arial" w:hAnsi="Arial"/>
                <w:sz w:val="20"/>
                <w:szCs w:val="20"/>
              </w:rPr>
              <w:t xml:space="preserve">DCI grew 45% year on year in Q2 2026; Dell'Oro raised its 2026 market forecast from 10% to 16% within three months and says supply, not demand, is the constraint. But no vendor has reported lead times normalising — the one metric that would separate a buildout from a pull-forward.</w:t>
            </w:r>
          </w:p>
        </w:tc>
      </w:tr>
      <w:tr>
        <w:tc>
          <w:tcPr>
            <w:tcW w:type="dxa" w:w="2900"/>
            <w:tcMar>
              <w:top w:type="dxa" w:w="80"/>
              <w:left w:type="dxa" w:w="120"/>
              <w:bottom w:type="dxa" w:w="80"/>
              <w:right w:type="dxa" w:w="120"/>
            </w:tcMar>
          </w:tcPr>
          <w:p>
            <w:pPr>
              <w:spacing w:after="0" w:line="260"/>
              <w:jc w:val="left"/>
            </w:pPr>
            <w:r>
              <w:rPr>
                <w:rFonts w:ascii="Arial" w:cs="Arial" w:eastAsia="Arial" w:hAnsi="Arial"/>
                <w:sz w:val="20"/>
                <w:szCs w:val="20"/>
              </w:rPr>
              <w:t xml:space="preserve">Software is a differentiator</w:t>
            </w:r>
          </w:p>
        </w:tc>
        <w:tc>
          <w:tcPr>
            <w:tcW w:type="dxa" w:w="1700"/>
            <w:tcMar>
              <w:top w:type="dxa" w:w="80"/>
              <w:left w:type="dxa" w:w="120"/>
              <w:bottom w:type="dxa" w:w="80"/>
              <w:right w:type="dxa" w:w="120"/>
            </w:tcMar>
          </w:tcPr>
          <w:p>
            <w:pPr>
              <w:spacing w:after="0" w:line="260"/>
              <w:jc w:val="left"/>
            </w:pPr>
            <w:r>
              <w:rPr>
                <w:rFonts w:ascii="Arial" w:cs="Arial" w:eastAsia="Arial" w:hAnsi="Arial"/>
                <w:sz w:val="20"/>
                <w:szCs w:val="20"/>
              </w:rPr>
              <w:t xml:space="preserve">Contradicts on materiality</w:t>
            </w:r>
          </w:p>
        </w:tc>
        <w:tc>
          <w:tcPr>
            <w:tcW w:type="dxa" w:w="4760"/>
            <w:tcMar>
              <w:top w:type="dxa" w:w="80"/>
              <w:left w:type="dxa" w:w="120"/>
              <w:bottom w:type="dxa" w:w="80"/>
              <w:right w:type="dxa" w:w="120"/>
            </w:tcMar>
          </w:tcPr>
          <w:p>
            <w:pPr>
              <w:spacing w:after="0" w:line="260"/>
              <w:jc w:val="left"/>
            </w:pPr>
            <w:r>
              <w:rPr>
                <w:rFonts w:ascii="Arial" w:cs="Arial" w:eastAsia="Arial" w:hAnsi="Arial"/>
                <w:sz w:val="20"/>
                <w:szCs w:val="20"/>
              </w:rPr>
              <w:t xml:space="preserve">Blue Planet was $115.5m in FY2025, 2.4% of revenue, and reached profitability for the first time only in that year. No independent source ranks Ciena's software position.</w:t>
            </w:r>
          </w:p>
        </w:tc>
      </w:tr>
    </w:tbl>
    <w:p>
      <w:pPr>
        <w:spacing w:after="140" w:line="276"/>
      </w:pPr>
      <w:r>
        <w:rPr>
          <w:rFonts w:ascii="Arial" w:cs="Arial" w:eastAsia="Arial" w:hAnsi="Arial"/>
          <w:sz w:val="22"/>
          <w:szCs w:val="22"/>
        </w:rPr>
        <w:t xml:space="preserve">The evidence points to a consistent answer on what kind of company earns durable returns here. It is one that owns its coherent silicon or has the volume to amortise someone else's; that leads the disaggregation rather than defending against it; that sells to cloud operators as well as carriers, because carrier capital spending is forecast to compound at 1% to 2030 (Dell'Oro, 2 Apr 2026); and that has the balance sheet to keep funding an $850m R&amp;D line through a digestion year. Ciena is that kind of company on all four counts. What it is not is a company with pricing power, and nothing in the outside evidence suggests any vendor in this industry has ever had it.</w:t>
      </w:r>
    </w:p>
    <w:p>
      <w:r>
        <w:br w:type="page"/>
      </w:r>
    </w:p>
    <w:p>
      <w:pPr>
        <w:pStyle w:val="Heading1"/>
        <w:spacing w:after="200" w:before="360"/>
      </w:pPr>
      <w:r>
        <w:rPr>
          <w:rFonts w:ascii="Arial" w:cs="Arial" w:eastAsia="Arial" w:hAnsi="Arial"/>
          <w:b/>
          <w:bCs/>
          <w:color w:val="1F3864"/>
          <w:sz w:val="32"/>
          <w:szCs w:val="32"/>
        </w:rPr>
        <w:t xml:space="preserve">4. Growth Engine</w:t>
      </w:r>
    </w:p>
    <w:p>
      <w:pPr>
        <w:spacing w:after="140" w:line="276"/>
      </w:pPr>
      <w:r>
        <w:rPr>
          <w:rFonts w:ascii="Arial" w:cs="Arial" w:eastAsia="Arial" w:hAnsi="Arial"/>
          <w:sz w:val="22"/>
          <w:szCs w:val="22"/>
        </w:rPr>
        <w:t xml:space="preserve">Ciena is growing 37% year on year and essentially all of it is organic. The only acquisition in the period, Nubis Communications, closed on 7 October 2025 for $232.6m in cash out of roughly $270.5m of total consideration; Ciena omitted pro forma disclosures because the contribution was immaterial (FY2025 10-K, Note 3). There is no acquired-versus-organic wedge to unpick. The wedge that matters is between customers.</w:t>
      </w:r>
    </w:p>
    <w:p>
      <w:pPr>
        <w:pStyle w:val="Heading2"/>
        <w:spacing w:after="180" w:before="180"/>
      </w:pPr>
      <w:r>
        <w:rPr>
          <w:rFonts w:ascii="Arial" w:cs="Arial" w:eastAsia="Arial" w:hAnsi="Arial"/>
          <w:b/>
          <w:bCs/>
          <w:color w:val="1F3864"/>
          <w:sz w:val="28"/>
          <w:szCs w:val="28"/>
        </w:rPr>
        <w:t xml:space="preserve">Where the growth actually comes from</w:t>
      </w:r>
    </w:p>
    <w:p>
      <w:pPr>
        <w:spacing w:after="140" w:line="276"/>
      </w:pPr>
      <w:r>
        <w:rPr>
          <w:rFonts w:ascii="Arial" w:cs="Arial" w:eastAsia="Arial" w:hAnsi="Arial"/>
          <w:sz w:val="22"/>
          <w:szCs w:val="22"/>
        </w:rPr>
        <w:t xml:space="preserve">In FY2025, revenue grew $754.6m. A single unnamed cloud provider accounted for $319.3m of that — its revenue rose from $532.3m to $851.6m — which is 42% of the company's entire growth from one customer. By the quarter ended 1 August 2026, cloud providers were 53% of revenue and growing 82% year on year, and two customers alone were 41.7% of the quarter: $476.6m (28.5%) and $219.6m (13.1%) (Q3 FY2026 10-Q, 3 Sep 2026). AT&amp;T, by contrast, has gone from $479.1m in FY2016 to $500.7m in FY2025 — 4.5% of growth in nine years while the company grew 83%. The telco base has not shrunk; it has simply stopped mattering to the growth rate.</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2340"/>
        <w:gridCol w:w="1750"/>
        <w:gridCol w:w="1750"/>
        <w:gridCol w:w="1750"/>
        <w:gridCol w:w="1770"/>
      </w:tblGrid>
      <w:tr>
        <w:trPr>
          <w:tblHeader/>
        </w:trPr>
        <w:tc>
          <w:tcPr>
            <w:tcW w:type="dxa" w:w="2340"/>
            <w:shd w:fill="1F3864" w:color="auto" w:val="clear"/>
            <w:tcMar>
              <w:top w:type="dxa" w:w="80"/>
              <w:left w:type="dxa" w:w="120"/>
              <w:bottom w:type="dxa" w:w="80"/>
              <w:right w:type="dxa" w:w="120"/>
            </w:tcMar>
          </w:tcPr>
          <w:p>
            <w:pPr>
              <w:spacing w:after="0" w:line="260"/>
              <w:jc w:val="left"/>
            </w:pPr>
            <w:r>
              <w:rPr>
                <w:rFonts w:ascii="Arial" w:cs="Arial" w:eastAsia="Arial" w:hAnsi="Arial"/>
                <w:b/>
                <w:bCs/>
                <w:color w:val="FFFFFF"/>
                <w:sz w:val="20"/>
                <w:szCs w:val="20"/>
              </w:rPr>
              <w:t xml:space="preserve">Cloud share of quarterly revenue</w:t>
            </w:r>
          </w:p>
        </w:tc>
        <w:tc>
          <w:tcPr>
            <w:tcW w:type="dxa" w:w="1750"/>
            <w:shd w:fill="1F3864" w:color="auto" w:val="clear"/>
            <w:tcMar>
              <w:top w:type="dxa" w:w="80"/>
              <w:left w:type="dxa" w:w="120"/>
              <w:bottom w:type="dxa" w:w="80"/>
              <w:right w:type="dxa" w:w="120"/>
            </w:tcMar>
          </w:tcPr>
          <w:p>
            <w:pPr>
              <w:spacing w:after="0" w:line="260"/>
              <w:jc w:val="right"/>
            </w:pPr>
            <w:r>
              <w:rPr>
                <w:rFonts w:ascii="Arial" w:cs="Arial" w:eastAsia="Arial" w:hAnsi="Arial"/>
                <w:b/>
                <w:bCs/>
                <w:color w:val="FFFFFF"/>
                <w:sz w:val="20"/>
                <w:szCs w:val="20"/>
              </w:rPr>
              <w:t xml:space="preserve">Q2 FY2025</w:t>
            </w:r>
          </w:p>
        </w:tc>
        <w:tc>
          <w:tcPr>
            <w:tcW w:type="dxa" w:w="1750"/>
            <w:shd w:fill="1F3864" w:color="auto" w:val="clear"/>
            <w:tcMar>
              <w:top w:type="dxa" w:w="80"/>
              <w:left w:type="dxa" w:w="120"/>
              <w:bottom w:type="dxa" w:w="80"/>
              <w:right w:type="dxa" w:w="120"/>
            </w:tcMar>
          </w:tcPr>
          <w:p>
            <w:pPr>
              <w:spacing w:after="0" w:line="260"/>
              <w:jc w:val="right"/>
            </w:pPr>
            <w:r>
              <w:rPr>
                <w:rFonts w:ascii="Arial" w:cs="Arial" w:eastAsia="Arial" w:hAnsi="Arial"/>
                <w:b/>
                <w:bCs/>
                <w:color w:val="FFFFFF"/>
                <w:sz w:val="20"/>
                <w:szCs w:val="20"/>
              </w:rPr>
              <w:t xml:space="preserve">Q4 FY2025</w:t>
            </w:r>
          </w:p>
        </w:tc>
        <w:tc>
          <w:tcPr>
            <w:tcW w:type="dxa" w:w="1750"/>
            <w:shd w:fill="1F3864" w:color="auto" w:val="clear"/>
            <w:tcMar>
              <w:top w:type="dxa" w:w="80"/>
              <w:left w:type="dxa" w:w="120"/>
              <w:bottom w:type="dxa" w:w="80"/>
              <w:right w:type="dxa" w:w="120"/>
            </w:tcMar>
          </w:tcPr>
          <w:p>
            <w:pPr>
              <w:spacing w:after="0" w:line="260"/>
              <w:jc w:val="right"/>
            </w:pPr>
            <w:r>
              <w:rPr>
                <w:rFonts w:ascii="Arial" w:cs="Arial" w:eastAsia="Arial" w:hAnsi="Arial"/>
                <w:b/>
                <w:bCs/>
                <w:color w:val="FFFFFF"/>
                <w:sz w:val="20"/>
                <w:szCs w:val="20"/>
              </w:rPr>
              <w:t xml:space="preserve">Q1 FY2026</w:t>
            </w:r>
          </w:p>
        </w:tc>
        <w:tc>
          <w:tcPr>
            <w:tcW w:type="dxa" w:w="1770"/>
            <w:shd w:fill="1F3864" w:color="auto" w:val="clear"/>
            <w:tcMar>
              <w:top w:type="dxa" w:w="80"/>
              <w:left w:type="dxa" w:w="120"/>
              <w:bottom w:type="dxa" w:w="80"/>
              <w:right w:type="dxa" w:w="120"/>
            </w:tcMar>
          </w:tcPr>
          <w:p>
            <w:pPr>
              <w:spacing w:after="0" w:line="260"/>
              <w:jc w:val="right"/>
            </w:pPr>
            <w:r>
              <w:rPr>
                <w:rFonts w:ascii="Arial" w:cs="Arial" w:eastAsia="Arial" w:hAnsi="Arial"/>
                <w:b/>
                <w:bCs/>
                <w:color w:val="FFFFFF"/>
                <w:sz w:val="20"/>
                <w:szCs w:val="20"/>
              </w:rPr>
              <w:t xml:space="preserve">Q3 FY2026</w:t>
            </w:r>
          </w:p>
        </w:tc>
      </w:tr>
      <w:tr>
        <w:tc>
          <w:tcPr>
            <w:tcW w:type="dxa" w:w="2340"/>
            <w:tcMar>
              <w:top w:type="dxa" w:w="80"/>
              <w:left w:type="dxa" w:w="120"/>
              <w:bottom w:type="dxa" w:w="80"/>
              <w:right w:type="dxa" w:w="120"/>
            </w:tcMar>
          </w:tcPr>
          <w:p>
            <w:pPr>
              <w:spacing w:after="0" w:line="260"/>
              <w:jc w:val="left"/>
            </w:pPr>
            <w:r>
              <w:rPr>
                <w:rFonts w:ascii="Arial" w:cs="Arial" w:eastAsia="Arial" w:hAnsi="Arial"/>
                <w:b/>
                <w:bCs/>
                <w:sz w:val="20"/>
                <w:szCs w:val="20"/>
              </w:rPr>
              <w:t xml:space="preserve">Cloud providers, % of revenue</w:t>
            </w:r>
          </w:p>
        </w:tc>
        <w:tc>
          <w:tcPr>
            <w:tcW w:type="dxa" w:w="1750"/>
            <w:tcMar>
              <w:top w:type="dxa" w:w="80"/>
              <w:left w:type="dxa" w:w="120"/>
              <w:bottom w:type="dxa" w:w="80"/>
              <w:right w:type="dxa" w:w="120"/>
            </w:tcMar>
          </w:tcPr>
          <w:p>
            <w:pPr>
              <w:spacing w:after="0" w:line="260"/>
              <w:jc w:val="right"/>
            </w:pPr>
            <w:r>
              <w:rPr>
                <w:rFonts w:ascii="Arial" w:cs="Arial" w:eastAsia="Arial" w:hAnsi="Arial"/>
                <w:b w:val="false"/>
                <w:bCs w:val="false"/>
                <w:sz w:val="20"/>
                <w:szCs w:val="20"/>
              </w:rPr>
              <w:t xml:space="preserve">38%</w:t>
            </w:r>
          </w:p>
        </w:tc>
        <w:tc>
          <w:tcPr>
            <w:tcW w:type="dxa" w:w="1750"/>
            <w:tcMar>
              <w:top w:type="dxa" w:w="80"/>
              <w:left w:type="dxa" w:w="120"/>
              <w:bottom w:type="dxa" w:w="80"/>
              <w:right w:type="dxa" w:w="120"/>
            </w:tcMar>
          </w:tcPr>
          <w:p>
            <w:pPr>
              <w:spacing w:after="0" w:line="260"/>
              <w:jc w:val="right"/>
            </w:pPr>
            <w:r>
              <w:rPr>
                <w:rFonts w:ascii="Arial" w:cs="Arial" w:eastAsia="Arial" w:hAnsi="Arial"/>
                <w:b w:val="false"/>
                <w:bCs w:val="false"/>
                <w:sz w:val="20"/>
                <w:szCs w:val="20"/>
              </w:rPr>
              <w:t xml:space="preserve">42%</w:t>
            </w:r>
          </w:p>
        </w:tc>
        <w:tc>
          <w:tcPr>
            <w:tcW w:type="dxa" w:w="1750"/>
            <w:tcMar>
              <w:top w:type="dxa" w:w="80"/>
              <w:left w:type="dxa" w:w="120"/>
              <w:bottom w:type="dxa" w:w="80"/>
              <w:right w:type="dxa" w:w="120"/>
            </w:tcMar>
          </w:tcPr>
          <w:p>
            <w:pPr>
              <w:spacing w:after="0" w:line="260"/>
              <w:jc w:val="right"/>
            </w:pPr>
            <w:r>
              <w:rPr>
                <w:rFonts w:ascii="Arial" w:cs="Arial" w:eastAsia="Arial" w:hAnsi="Arial"/>
                <w:b w:val="false"/>
                <w:bCs w:val="false"/>
                <w:sz w:val="20"/>
                <w:szCs w:val="20"/>
              </w:rPr>
              <w:t xml:space="preserve">42%</w:t>
            </w:r>
          </w:p>
        </w:tc>
        <w:tc>
          <w:tcPr>
            <w:tcW w:type="dxa" w:w="1770"/>
            <w:tcMar>
              <w:top w:type="dxa" w:w="80"/>
              <w:left w:type="dxa" w:w="120"/>
              <w:bottom w:type="dxa" w:w="80"/>
              <w:right w:type="dxa" w:w="120"/>
            </w:tcMar>
          </w:tcPr>
          <w:p>
            <w:pPr>
              <w:spacing w:after="0" w:line="260"/>
              <w:jc w:val="right"/>
            </w:pPr>
            <w:r>
              <w:rPr>
                <w:rFonts w:ascii="Arial" w:cs="Arial" w:eastAsia="Arial" w:hAnsi="Arial"/>
                <w:b w:val="false"/>
                <w:bCs w:val="false"/>
                <w:sz w:val="20"/>
                <w:szCs w:val="20"/>
              </w:rPr>
              <w:t xml:space="preserve">53%</w:t>
            </w:r>
          </w:p>
        </w:tc>
      </w:tr>
      <w:tr>
        <w:tc>
          <w:tcPr>
            <w:tcW w:type="dxa" w:w="2340"/>
            <w:shd w:fill="F2F4F8" w:color="auto" w:val="clear"/>
            <w:tcMar>
              <w:top w:type="dxa" w:w="80"/>
              <w:left w:type="dxa" w:w="120"/>
              <w:bottom w:type="dxa" w:w="80"/>
              <w:right w:type="dxa" w:w="120"/>
            </w:tcMar>
          </w:tcPr>
          <w:p>
            <w:pPr>
              <w:spacing w:after="0" w:line="260"/>
              <w:jc w:val="left"/>
            </w:pPr>
            <w:r>
              <w:rPr>
                <w:rFonts w:ascii="Arial" w:cs="Arial" w:eastAsia="Arial" w:hAnsi="Arial"/>
                <w:b/>
                <w:bCs/>
                <w:sz w:val="20"/>
                <w:szCs w:val="20"/>
              </w:rPr>
              <w:t xml:space="preserve">Year-on-year growth in that revenue</w:t>
            </w:r>
          </w:p>
        </w:tc>
        <w:tc>
          <w:tcPr>
            <w:tcW w:type="dxa" w:w="1750"/>
            <w:shd w:fill="F2F4F8" w:color="auto" w:val="clear"/>
            <w:tcMar>
              <w:top w:type="dxa" w:w="80"/>
              <w:left w:type="dxa" w:w="120"/>
              <w:bottom w:type="dxa" w:w="80"/>
              <w:right w:type="dxa" w:w="120"/>
            </w:tcMar>
          </w:tcPr>
          <w:p>
            <w:pPr>
              <w:spacing w:after="0" w:line="260"/>
              <w:jc w:val="right"/>
            </w:pPr>
            <w:r>
              <w:rPr>
                <w:rFonts w:ascii="Arial" w:cs="Arial" w:eastAsia="Arial" w:hAnsi="Arial"/>
                <w:b w:val="false"/>
                <w:bCs w:val="false"/>
                <w:sz w:val="20"/>
                <w:szCs w:val="20"/>
              </w:rPr>
              <w:t xml:space="preserve">+85%</w:t>
            </w:r>
          </w:p>
        </w:tc>
        <w:tc>
          <w:tcPr>
            <w:tcW w:type="dxa" w:w="1750"/>
            <w:shd w:fill="F2F4F8" w:color="auto" w:val="clear"/>
            <w:tcMar>
              <w:top w:type="dxa" w:w="80"/>
              <w:left w:type="dxa" w:w="120"/>
              <w:bottom w:type="dxa" w:w="80"/>
              <w:right w:type="dxa" w:w="120"/>
            </w:tcMar>
          </w:tcPr>
          <w:p>
            <w:pPr>
              <w:spacing w:after="0" w:line="260"/>
              <w:jc w:val="right"/>
            </w:pPr>
            <w:r>
              <w:rPr>
                <w:rFonts w:ascii="Arial" w:cs="Arial" w:eastAsia="Arial" w:hAnsi="Arial"/>
                <w:b w:val="false"/>
                <w:bCs w:val="false"/>
                <w:sz w:val="20"/>
                <w:szCs w:val="20"/>
              </w:rPr>
              <w:t xml:space="preserve">+49%</w:t>
            </w:r>
          </w:p>
        </w:tc>
        <w:tc>
          <w:tcPr>
            <w:tcW w:type="dxa" w:w="1750"/>
            <w:shd w:fill="F2F4F8" w:color="auto" w:val="clear"/>
            <w:tcMar>
              <w:top w:type="dxa" w:w="80"/>
              <w:left w:type="dxa" w:w="120"/>
              <w:bottom w:type="dxa" w:w="80"/>
              <w:right w:type="dxa" w:w="120"/>
            </w:tcMar>
          </w:tcPr>
          <w:p>
            <w:pPr>
              <w:spacing w:after="0" w:line="260"/>
              <w:jc w:val="right"/>
            </w:pPr>
            <w:r>
              <w:rPr>
                <w:rFonts w:ascii="Arial" w:cs="Arial" w:eastAsia="Arial" w:hAnsi="Arial"/>
                <w:b w:val="false"/>
                <w:bCs w:val="false"/>
                <w:sz w:val="20"/>
                <w:szCs w:val="20"/>
              </w:rPr>
              <w:t xml:space="preserve">+76%</w:t>
            </w:r>
          </w:p>
        </w:tc>
        <w:tc>
          <w:tcPr>
            <w:tcW w:type="dxa" w:w="1770"/>
            <w:shd w:fill="F2F4F8" w:color="auto" w:val="clear"/>
            <w:tcMar>
              <w:top w:type="dxa" w:w="80"/>
              <w:left w:type="dxa" w:w="120"/>
              <w:bottom w:type="dxa" w:w="80"/>
              <w:right w:type="dxa" w:w="120"/>
            </w:tcMar>
          </w:tcPr>
          <w:p>
            <w:pPr>
              <w:spacing w:after="0" w:line="260"/>
              <w:jc w:val="right"/>
            </w:pPr>
            <w:r>
              <w:rPr>
                <w:rFonts w:ascii="Arial" w:cs="Arial" w:eastAsia="Arial" w:hAnsi="Arial"/>
                <w:b w:val="false"/>
                <w:bCs w:val="false"/>
                <w:sz w:val="20"/>
                <w:szCs w:val="20"/>
              </w:rPr>
              <w:t xml:space="preserve">+82%</w:t>
            </w:r>
          </w:p>
        </w:tc>
      </w:tr>
      <w:tr>
        <w:tc>
          <w:tcPr>
            <w:tcW w:type="dxa" w:w="2340"/>
            <w:tcMar>
              <w:top w:type="dxa" w:w="80"/>
              <w:left w:type="dxa" w:w="120"/>
              <w:bottom w:type="dxa" w:w="80"/>
              <w:right w:type="dxa" w:w="120"/>
            </w:tcMar>
          </w:tcPr>
          <w:p>
            <w:pPr>
              <w:spacing w:after="0" w:line="260"/>
              <w:jc w:val="left"/>
            </w:pPr>
            <w:r>
              <w:rPr>
                <w:rFonts w:ascii="Arial" w:cs="Arial" w:eastAsia="Arial" w:hAnsi="Arial"/>
                <w:b/>
                <w:bCs/>
                <w:sz w:val="20"/>
                <w:szCs w:val="20"/>
              </w:rPr>
              <w:t xml:space="preserve">Adjusted gross margin, same quarter</w:t>
            </w:r>
          </w:p>
        </w:tc>
        <w:tc>
          <w:tcPr>
            <w:tcW w:type="dxa" w:w="1750"/>
            <w:tcMar>
              <w:top w:type="dxa" w:w="80"/>
              <w:left w:type="dxa" w:w="120"/>
              <w:bottom w:type="dxa" w:w="80"/>
              <w:right w:type="dxa" w:w="120"/>
            </w:tcMar>
          </w:tcPr>
          <w:p>
            <w:pPr>
              <w:spacing w:after="0" w:line="260"/>
              <w:jc w:val="right"/>
            </w:pPr>
            <w:r>
              <w:rPr>
                <w:rFonts w:ascii="Arial" w:cs="Arial" w:eastAsia="Arial" w:hAnsi="Arial"/>
                <w:b w:val="false"/>
                <w:bCs w:val="false"/>
                <w:sz w:val="20"/>
                <w:szCs w:val="20"/>
              </w:rPr>
              <w:t xml:space="preserve">41.0%</w:t>
            </w:r>
          </w:p>
        </w:tc>
        <w:tc>
          <w:tcPr>
            <w:tcW w:type="dxa" w:w="1750"/>
            <w:tcMar>
              <w:top w:type="dxa" w:w="80"/>
              <w:left w:type="dxa" w:w="120"/>
              <w:bottom w:type="dxa" w:w="80"/>
              <w:right w:type="dxa" w:w="120"/>
            </w:tcMar>
          </w:tcPr>
          <w:p>
            <w:pPr>
              <w:spacing w:after="0" w:line="260"/>
              <w:jc w:val="right"/>
            </w:pPr>
            <w:r>
              <w:rPr>
                <w:rFonts w:ascii="Arial" w:cs="Arial" w:eastAsia="Arial" w:hAnsi="Arial"/>
                <w:b w:val="false"/>
                <w:bCs w:val="false"/>
                <w:sz w:val="20"/>
                <w:szCs w:val="20"/>
              </w:rPr>
              <w:t xml:space="preserve">43.4%</w:t>
            </w:r>
          </w:p>
        </w:tc>
        <w:tc>
          <w:tcPr>
            <w:tcW w:type="dxa" w:w="1750"/>
            <w:tcMar>
              <w:top w:type="dxa" w:w="80"/>
              <w:left w:type="dxa" w:w="120"/>
              <w:bottom w:type="dxa" w:w="80"/>
              <w:right w:type="dxa" w:w="120"/>
            </w:tcMar>
          </w:tcPr>
          <w:p>
            <w:pPr>
              <w:spacing w:after="0" w:line="260"/>
              <w:jc w:val="right"/>
            </w:pPr>
            <w:r>
              <w:rPr>
                <w:rFonts w:ascii="Arial" w:cs="Arial" w:eastAsia="Arial" w:hAnsi="Arial"/>
                <w:b w:val="false"/>
                <w:bCs w:val="false"/>
                <w:sz w:val="20"/>
                <w:szCs w:val="20"/>
              </w:rPr>
              <w:t xml:space="preserve">44.7%</w:t>
            </w:r>
          </w:p>
        </w:tc>
        <w:tc>
          <w:tcPr>
            <w:tcW w:type="dxa" w:w="1770"/>
            <w:tcMar>
              <w:top w:type="dxa" w:w="80"/>
              <w:left w:type="dxa" w:w="120"/>
              <w:bottom w:type="dxa" w:w="80"/>
              <w:right w:type="dxa" w:w="120"/>
            </w:tcMar>
          </w:tcPr>
          <w:p>
            <w:pPr>
              <w:spacing w:after="0" w:line="260"/>
              <w:jc w:val="right"/>
            </w:pPr>
            <w:r>
              <w:rPr>
                <w:rFonts w:ascii="Arial" w:cs="Arial" w:eastAsia="Arial" w:hAnsi="Arial"/>
                <w:b w:val="false"/>
                <w:bCs w:val="false"/>
                <w:sz w:val="20"/>
                <w:szCs w:val="20"/>
              </w:rPr>
              <w:t xml:space="preserve">46.4%</w:t>
            </w:r>
          </w:p>
        </w:tc>
      </w:tr>
    </w:tbl>
    <w:p>
      <w:pPr>
        <w:spacing w:after="200" w:before="80"/>
      </w:pPr>
      <w:r>
        <w:rPr>
          <w:rFonts w:ascii="Arial" w:cs="Arial" w:eastAsia="Arial" w:hAnsi="Arial"/>
          <w:i/>
          <w:iCs/>
          <w:color w:val="595959"/>
          <w:sz w:val="18"/>
          <w:szCs w:val="18"/>
        </w:rPr>
        <w:t xml:space="preserve">Source: Ciena quarterly presentations and releases, 5 Jun 2025 through 3 Sep 2026. The metric label changed from "direct cloud provider" to "cloud provider" in Q2 FY2026 and Ciena discontinued its "non-telco %" disclosure after Q1 FY2026, so service-provider revenue for the two most recent quarters is not disclosed.</w:t>
      </w:r>
    </w:p>
    <w:p>
      <w:pPr>
        <w:spacing w:after="140" w:line="276"/>
      </w:pPr>
      <w:r>
        <w:rPr>
          <w:rFonts w:ascii="Arial" w:cs="Arial" w:eastAsia="Arial" w:hAnsi="Arial"/>
          <w:sz w:val="22"/>
          <w:szCs w:val="22"/>
        </w:rPr>
        <w:t xml:space="preserve">That table contains a result worth pausing on. Ciena spent three years telling investors that cloud mix diluted product gross margin — the FY2025 10-K says cloud growth "contributed to a changing product mix and an increase in sales of interconnect products, impacting our product gross margin." Cloud share has since risen from 38% to 53% and adjusted gross margin has risen 540 basis points alongside it. The Q3 FY2026 10-Q attributes the gain to "cost reduction, pricing optimization, product mix, and tariff refunds." Two of those four — pricing optimisation and tariff refunds — are conditions of a supply-constrained market rather than properties of the customer mix, so the reversal is not yet proof that cloud revenue is structurally as good as carrier revenue. It is proof that the dilution thesis does not hold while supply is short.</w:t>
      </w:r>
    </w:p>
    <w:p>
      <w:pPr>
        <w:pStyle w:val="Heading2"/>
        <w:spacing w:after="180" w:before="180"/>
      </w:pPr>
      <w:r>
        <w:rPr>
          <w:rFonts w:ascii="Arial" w:cs="Arial" w:eastAsia="Arial" w:hAnsi="Arial"/>
          <w:b/>
          <w:bCs/>
          <w:color w:val="1F3864"/>
          <w:sz w:val="28"/>
          <w:szCs w:val="28"/>
        </w:rPr>
        <w:t xml:space="preserve">The drivers, ranked</w:t>
      </w:r>
    </w:p>
    <w:p>
      <w:pPr>
        <w:pStyle w:val="ListParagraph"/>
        <w:numPr>
          <w:ilvl w:val="0"/>
          <w:numId w:val="2"/>
        </w:numPr>
        <w:spacing w:after="100" w:line="276"/>
      </w:pPr>
      <w:r>
        <w:rPr>
          <w:rFonts w:ascii="Arial" w:cs="Arial" w:eastAsia="Arial" w:hAnsi="Arial"/>
          <w:b/>
          <w:bCs/>
          <w:sz w:val="22"/>
          <w:szCs w:val="22"/>
        </w:rPr>
        <w:t xml:space="preserve">Cloud data-centre interconnect and "scale-across." </w:t>
      </w:r>
      <w:r>
        <w:rPr>
          <w:rFonts w:ascii="Arial" w:cs="Arial" w:eastAsia="Arial" w:hAnsi="Arial"/>
          <w:sz w:val="22"/>
          <w:szCs w:val="22"/>
        </w:rPr>
        <w:t xml:space="preserve">Structural. Training clusters are being split across buildings roughly 100km apart to reach different electricity grids, and each split creates coherent transport demand that did not exist when the cluster sat in one building (Dell'Oro, 17 Dec 2025). DCI grew 45% year on year in Q2 2026. This is the largest driver by a distance and it is the reason the whole market is growing again.</w:t>
      </w:r>
    </w:p>
    <w:p>
      <w:pPr>
        <w:pStyle w:val="ListParagraph"/>
        <w:numPr>
          <w:ilvl w:val="0"/>
          <w:numId w:val="2"/>
        </w:numPr>
        <w:spacing w:after="100" w:line="276"/>
      </w:pPr>
      <w:r>
        <w:rPr>
          <w:rFonts w:ascii="Arial" w:cs="Arial" w:eastAsia="Arial" w:hAnsi="Arial"/>
          <w:b/>
          <w:bCs/>
          <w:sz w:val="22"/>
          <w:szCs w:val="22"/>
        </w:rPr>
        <w:t xml:space="preserve">Coherent pluggables. </w:t>
      </w:r>
      <w:r>
        <w:rPr>
          <w:rFonts w:ascii="Arial" w:cs="Arial" w:eastAsia="Arial" w:hAnsi="Arial"/>
          <w:sz w:val="22"/>
          <w:szCs w:val="22"/>
        </w:rPr>
        <w:t xml:space="preserve">Structural, and double-edged. Ciena's pluggable revenue more than doubled year on year in Q3 FY2026 and WaveLogic 6 Nano 800ZR shipments more than doubled sequentially. But given the revenue intensity of the format described in Section 3, every wavelength that migrates to a pluggable arrives with a fraction of the revenue the embedded equivalent carried. Growing here is necessary and dilutive at the same time.</w:t>
      </w:r>
    </w:p>
    <w:p>
      <w:pPr>
        <w:pStyle w:val="ListParagraph"/>
        <w:numPr>
          <w:ilvl w:val="0"/>
          <w:numId w:val="2"/>
        </w:numPr>
        <w:spacing w:after="100" w:line="276"/>
      </w:pPr>
      <w:r>
        <w:rPr>
          <w:rFonts w:ascii="Arial" w:cs="Arial" w:eastAsia="Arial" w:hAnsi="Arial"/>
          <w:b/>
          <w:bCs/>
          <w:sz w:val="22"/>
          <w:szCs w:val="22"/>
        </w:rPr>
        <w:t xml:space="preserve">The WaveLogic 6 Extreme refresh cycle. </w:t>
      </w:r>
      <w:r>
        <w:rPr>
          <w:rFonts w:ascii="Arial" w:cs="Arial" w:eastAsia="Arial" w:hAnsi="Arial"/>
          <w:sz w:val="22"/>
          <w:szCs w:val="22"/>
        </w:rPr>
        <w:t xml:space="preserve">Management-driven. Customer count went from five at commercial availability in December 2024 to 110 by June 2026. Ciena has never disclosed what WaveLogic 6 Extreme contributes to revenue, in any period, so its size can only be inferred from Optical Networking's 46.1% growth in the most recent quarter.</w:t>
      </w:r>
    </w:p>
    <w:p>
      <w:pPr>
        <w:pStyle w:val="ListParagraph"/>
        <w:numPr>
          <w:ilvl w:val="0"/>
          <w:numId w:val="2"/>
        </w:numPr>
        <w:spacing w:after="100" w:line="276"/>
      </w:pPr>
      <w:r>
        <w:rPr>
          <w:rFonts w:ascii="Arial" w:cs="Arial" w:eastAsia="Arial" w:hAnsi="Arial"/>
          <w:b/>
          <w:bCs/>
          <w:sz w:val="22"/>
          <w:szCs w:val="22"/>
        </w:rPr>
        <w:t xml:space="preserve">Backlog conversion against constrained supply. </w:t>
      </w:r>
      <w:r>
        <w:rPr>
          <w:rFonts w:ascii="Arial" w:cs="Arial" w:eastAsia="Arial" w:hAnsi="Arial"/>
          <w:sz w:val="22"/>
          <w:szCs w:val="22"/>
        </w:rPr>
        <w:t xml:space="preserve">Temporary. Backlog rose from $2.1bn to $5.0bn during FY2025, and Ciena itself said "a portion is related to an industry-wide constrained supply environment" (FY2025 10-K). Some of the current revenue is catch-up shipment against orders placed early to secure capacity, and that component stops when lead times normalise.</w:t>
      </w:r>
    </w:p>
    <w:p>
      <w:pPr>
        <w:pStyle w:val="ListParagraph"/>
        <w:numPr>
          <w:ilvl w:val="0"/>
          <w:numId w:val="2"/>
        </w:numPr>
        <w:spacing w:after="100" w:line="276"/>
      </w:pPr>
      <w:r>
        <w:rPr>
          <w:rFonts w:ascii="Arial" w:cs="Arial" w:eastAsia="Arial" w:hAnsi="Arial"/>
          <w:b/>
          <w:bCs/>
          <w:sz w:val="22"/>
          <w:szCs w:val="22"/>
        </w:rPr>
        <w:t xml:space="preserve">Service providers and managed optical fibre networks. </w:t>
      </w:r>
      <w:r>
        <w:rPr>
          <w:rFonts w:ascii="Arial" w:cs="Arial" w:eastAsia="Arial" w:hAnsi="Arial"/>
          <w:sz w:val="22"/>
          <w:szCs w:val="22"/>
        </w:rPr>
        <w:t xml:space="preserve">Cyclical. Ciena reported more than 30 MOFN wins in FY2025 — arrangements where a carrier builds and leases dedicated capacity to a cloud provider — and India revenue more than doubled year on year in Q2 FY2026 on that basis. This is cloud demand reaching Ciena through a telco balance sheet, and it moves with carrier willingness to fund it.</w:t>
      </w:r>
    </w:p>
    <w:p>
      <w:pPr>
        <w:pStyle w:val="ListParagraph"/>
        <w:numPr>
          <w:ilvl w:val="0"/>
          <w:numId w:val="2"/>
        </w:numPr>
        <w:spacing w:after="100" w:line="276"/>
      </w:pPr>
      <w:r>
        <w:rPr>
          <w:rFonts w:ascii="Arial" w:cs="Arial" w:eastAsia="Arial" w:hAnsi="Arial"/>
          <w:b/>
          <w:bCs/>
          <w:sz w:val="22"/>
          <w:szCs w:val="22"/>
        </w:rPr>
        <w:t xml:space="preserve">Interconnects inside the data centre. </w:t>
      </w:r>
      <w:r>
        <w:rPr>
          <w:rFonts w:ascii="Arial" w:cs="Arial" w:eastAsia="Arial" w:hAnsi="Arial"/>
          <w:sz w:val="22"/>
          <w:szCs w:val="22"/>
        </w:rPr>
        <w:t xml:space="preserve">Management-driven, and immaterial today. Nubis brings co-packaged optics and active copper cables. The market it targets — datacom optical components — was over $19bn in 2025 and grew more than 70% (Cignal AI, 21 Apr 2026), several times the growth rate of Ciena's own market. Ciena has disclosed one "significant direct performance optics module order" with no dollar amount, and nothing else.</w:t>
      </w:r>
    </w:p>
    <w:p>
      <w:pPr>
        <w:spacing w:after="140" w:line="276"/>
      </w:pPr>
      <w:r>
        <w:rPr>
          <w:rFonts w:ascii="Arial" w:cs="Arial" w:eastAsia="Arial" w:hAnsi="Arial"/>
          <w:sz w:val="22"/>
          <w:szCs w:val="22"/>
        </w:rPr>
        <w:t xml:space="preserve">Guidance for FY2026 is $6.42bn, up about 35%, with a preliminary FY2027 view of at least 30% further growth at a 45-46% adjusted gross margin and a 25-27% adjusted operating margin (3 Sep 2026). Ciena's FY2026 revenue guidance has been raised at every quarter this year, from $5.7-6.1bn in December to $6.42bn in September. Those are the first quantified multi-year figures the company has published in the filing record examined here; neither the FY2016 nor the FY2021 10-K contains any stated financial target.</w:t>
      </w:r>
    </w:p>
    <w:p>
      <w:r>
        <w:br w:type="page"/>
      </w:r>
    </w:p>
    <w:p>
      <w:pPr>
        <w:pStyle w:val="Heading1"/>
        <w:spacing w:after="200" w:before="360"/>
      </w:pPr>
      <w:r>
        <w:rPr>
          <w:rFonts w:ascii="Arial" w:cs="Arial" w:eastAsia="Arial" w:hAnsi="Arial"/>
          <w:b/>
          <w:bCs/>
          <w:color w:val="1F3864"/>
          <w:sz w:val="32"/>
          <w:szCs w:val="32"/>
        </w:rPr>
        <w:t xml:space="preserve">5. Margin, Cash and Capital Allocation</w:t>
      </w:r>
    </w:p>
    <w:p>
      <w:pPr>
        <w:spacing w:after="140" w:line="276"/>
      </w:pPr>
      <w:r>
        <w:rPr>
          <w:rFonts w:ascii="Arial" w:cs="Arial" w:eastAsia="Arial" w:hAnsi="Arial"/>
          <w:sz w:val="22"/>
          <w:szCs w:val="22"/>
        </w:rPr>
        <w:t xml:space="preserve">Ciena's margin structure has two layers, and they behave differently. Gross margin is set by product mix and by whether the market is short of supply; it has oscillated between 42% and 48% for a decade with no trend. Operating margin is set by whether revenue is growing faster than an R&amp;D line that does not shrink. The second is where the earnings actually come from.</w:t>
      </w:r>
    </w:p>
    <w:p>
      <w:pPr>
        <w:spacing w:after="140" w:line="276"/>
      </w:pPr>
      <w:r>
        <w:rPr>
          <w:rFonts w:ascii="Arial" w:cs="Arial" w:eastAsia="Arial" w:hAnsi="Arial"/>
          <w:sz w:val="22"/>
          <w:szCs w:val="22"/>
        </w:rPr>
        <w:t xml:space="preserve">R&amp;D was 17.4% of revenue in FY2016, 14.8% in FY2021 and 17.8% in FY2025. Over a decade in which revenue grew 83%, R&amp;D grew 88%. There is no evidence of R&amp;D operating leverage across the cycle — the coherent roadmap has to be funded whether or not customers are buying, which is precisely why only six firms build these chips and why the barrier is real. What changes is the denominator. In the quarter ended 1 August 2026, revenue of $1,671.1m grew 37% while adjusted operating expense grew 5.2%, and adjusted operating margin went from 10.7% to 22.5%. That single comparison is the entire earnings story: the fixed cost was already there, and the revenue arrived.</w:t>
      </w:r>
    </w:p>
    <w:p>
      <w:pPr>
        <w:pStyle w:val="Heading2"/>
        <w:spacing w:after="180" w:before="180"/>
      </w:pPr>
      <w:r>
        <w:rPr>
          <w:rFonts w:ascii="Arial" w:cs="Arial" w:eastAsia="Arial" w:hAnsi="Arial"/>
          <w:b/>
          <w:bCs/>
          <w:color w:val="1F3864"/>
          <w:sz w:val="28"/>
          <w:szCs w:val="28"/>
        </w:rPr>
        <w:t xml:space="preserve">The financial spine</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2760"/>
        <w:gridCol w:w="1650"/>
        <w:gridCol w:w="1650"/>
        <w:gridCol w:w="1650"/>
        <w:gridCol w:w="1650"/>
      </w:tblGrid>
      <w:tr>
        <w:trPr>
          <w:tblHeader/>
        </w:trPr>
        <w:tc>
          <w:tcPr>
            <w:tcW w:type="dxa" w:w="2760"/>
            <w:shd w:fill="1F3864" w:color="auto" w:val="clear"/>
            <w:tcMar>
              <w:top w:type="dxa" w:w="80"/>
              <w:left w:type="dxa" w:w="120"/>
              <w:bottom w:type="dxa" w:w="80"/>
              <w:right w:type="dxa" w:w="120"/>
            </w:tcMar>
          </w:tcPr>
          <w:p>
            <w:pPr>
              <w:spacing w:after="0" w:line="260"/>
              <w:jc w:val="left"/>
            </w:pPr>
            <w:r>
              <w:rPr>
                <w:rFonts w:ascii="Arial" w:cs="Arial" w:eastAsia="Arial" w:hAnsi="Arial"/>
                <w:b/>
                <w:bCs/>
                <w:color w:val="FFFFFF"/>
                <w:sz w:val="20"/>
                <w:szCs w:val="20"/>
              </w:rPr>
              <w:t xml:space="preserve"/>
            </w:r>
          </w:p>
        </w:tc>
        <w:tc>
          <w:tcPr>
            <w:tcW w:type="dxa" w:w="1650"/>
            <w:shd w:fill="1F3864" w:color="auto" w:val="clear"/>
            <w:tcMar>
              <w:top w:type="dxa" w:w="80"/>
              <w:left w:type="dxa" w:w="120"/>
              <w:bottom w:type="dxa" w:w="80"/>
              <w:right w:type="dxa" w:w="120"/>
            </w:tcMar>
          </w:tcPr>
          <w:p>
            <w:pPr>
              <w:spacing w:after="0" w:line="260"/>
              <w:jc w:val="right"/>
            </w:pPr>
            <w:r>
              <w:rPr>
                <w:rFonts w:ascii="Arial" w:cs="Arial" w:eastAsia="Arial" w:hAnsi="Arial"/>
                <w:b/>
                <w:bCs/>
                <w:color w:val="FFFFFF"/>
                <w:sz w:val="20"/>
                <w:szCs w:val="20"/>
              </w:rPr>
              <w:t xml:space="preserve">FY2016</w:t>
            </w:r>
          </w:p>
        </w:tc>
        <w:tc>
          <w:tcPr>
            <w:tcW w:type="dxa" w:w="1650"/>
            <w:shd w:fill="1F3864" w:color="auto" w:val="clear"/>
            <w:tcMar>
              <w:top w:type="dxa" w:w="80"/>
              <w:left w:type="dxa" w:w="120"/>
              <w:bottom w:type="dxa" w:w="80"/>
              <w:right w:type="dxa" w:w="120"/>
            </w:tcMar>
          </w:tcPr>
          <w:p>
            <w:pPr>
              <w:spacing w:after="0" w:line="260"/>
              <w:jc w:val="right"/>
            </w:pPr>
            <w:r>
              <w:rPr>
                <w:rFonts w:ascii="Arial" w:cs="Arial" w:eastAsia="Arial" w:hAnsi="Arial"/>
                <w:b/>
                <w:bCs/>
                <w:color w:val="FFFFFF"/>
                <w:sz w:val="20"/>
                <w:szCs w:val="20"/>
              </w:rPr>
              <w:t xml:space="preserve">FY2021</w:t>
            </w:r>
          </w:p>
        </w:tc>
        <w:tc>
          <w:tcPr>
            <w:tcW w:type="dxa" w:w="1650"/>
            <w:shd w:fill="1F3864" w:color="auto" w:val="clear"/>
            <w:tcMar>
              <w:top w:type="dxa" w:w="80"/>
              <w:left w:type="dxa" w:w="120"/>
              <w:bottom w:type="dxa" w:w="80"/>
              <w:right w:type="dxa" w:w="120"/>
            </w:tcMar>
          </w:tcPr>
          <w:p>
            <w:pPr>
              <w:spacing w:after="0" w:line="260"/>
              <w:jc w:val="right"/>
            </w:pPr>
            <w:r>
              <w:rPr>
                <w:rFonts w:ascii="Arial" w:cs="Arial" w:eastAsia="Arial" w:hAnsi="Arial"/>
                <w:b/>
                <w:bCs/>
                <w:color w:val="FFFFFF"/>
                <w:sz w:val="20"/>
                <w:szCs w:val="20"/>
              </w:rPr>
              <w:t xml:space="preserve">FY2025</w:t>
            </w:r>
          </w:p>
        </w:tc>
        <w:tc>
          <w:tcPr>
            <w:tcW w:type="dxa" w:w="1650"/>
            <w:shd w:fill="1F3864" w:color="auto" w:val="clear"/>
            <w:tcMar>
              <w:top w:type="dxa" w:w="80"/>
              <w:left w:type="dxa" w:w="120"/>
              <w:bottom w:type="dxa" w:w="80"/>
              <w:right w:type="dxa" w:w="120"/>
            </w:tcMar>
          </w:tcPr>
          <w:p>
            <w:pPr>
              <w:spacing w:after="0" w:line="260"/>
              <w:jc w:val="right"/>
            </w:pPr>
            <w:r>
              <w:rPr>
                <w:rFonts w:ascii="Arial" w:cs="Arial" w:eastAsia="Arial" w:hAnsi="Arial"/>
                <w:b/>
                <w:bCs/>
                <w:color w:val="FFFFFF"/>
                <w:sz w:val="20"/>
                <w:szCs w:val="20"/>
              </w:rPr>
              <w:t xml:space="preserve">FY2026 guide</w:t>
            </w:r>
          </w:p>
        </w:tc>
      </w:tr>
      <w:tr>
        <w:tc>
          <w:tcPr>
            <w:tcW w:type="dxa" w:w="2760"/>
            <w:tcMar>
              <w:top w:type="dxa" w:w="80"/>
              <w:left w:type="dxa" w:w="120"/>
              <w:bottom w:type="dxa" w:w="80"/>
              <w:right w:type="dxa" w:w="120"/>
            </w:tcMar>
          </w:tcPr>
          <w:p>
            <w:pPr>
              <w:spacing w:after="0" w:line="260"/>
              <w:jc w:val="left"/>
            </w:pPr>
            <w:r>
              <w:rPr>
                <w:rFonts w:ascii="Arial" w:cs="Arial" w:eastAsia="Arial" w:hAnsi="Arial"/>
                <w:b/>
                <w:bCs/>
                <w:sz w:val="20"/>
                <w:szCs w:val="20"/>
              </w:rPr>
              <w:t xml:space="preserve">Revenue</w:t>
            </w:r>
          </w:p>
        </w:tc>
        <w:tc>
          <w:tcPr>
            <w:tcW w:type="dxa" w:w="1650"/>
            <w:tcMar>
              <w:top w:type="dxa" w:w="80"/>
              <w:left w:type="dxa" w:w="120"/>
              <w:bottom w:type="dxa" w:w="80"/>
              <w:right w:type="dxa" w:w="120"/>
            </w:tcMar>
          </w:tcPr>
          <w:p>
            <w:pPr>
              <w:spacing w:after="0" w:line="260"/>
              <w:jc w:val="right"/>
            </w:pPr>
            <w:r>
              <w:rPr>
                <w:rFonts w:ascii="Arial" w:cs="Arial" w:eastAsia="Arial" w:hAnsi="Arial"/>
                <w:b w:val="false"/>
                <w:bCs w:val="false"/>
                <w:sz w:val="20"/>
                <w:szCs w:val="20"/>
              </w:rPr>
              <w:t xml:space="preserve">$2,600.6m</w:t>
            </w:r>
          </w:p>
        </w:tc>
        <w:tc>
          <w:tcPr>
            <w:tcW w:type="dxa" w:w="1650"/>
            <w:tcMar>
              <w:top w:type="dxa" w:w="80"/>
              <w:left w:type="dxa" w:w="120"/>
              <w:bottom w:type="dxa" w:w="80"/>
              <w:right w:type="dxa" w:w="120"/>
            </w:tcMar>
          </w:tcPr>
          <w:p>
            <w:pPr>
              <w:spacing w:after="0" w:line="260"/>
              <w:jc w:val="right"/>
            </w:pPr>
            <w:r>
              <w:rPr>
                <w:rFonts w:ascii="Arial" w:cs="Arial" w:eastAsia="Arial" w:hAnsi="Arial"/>
                <w:b w:val="false"/>
                <w:bCs w:val="false"/>
                <w:sz w:val="20"/>
                <w:szCs w:val="20"/>
              </w:rPr>
              <w:t xml:space="preserve">$3,620.7m</w:t>
            </w:r>
          </w:p>
        </w:tc>
        <w:tc>
          <w:tcPr>
            <w:tcW w:type="dxa" w:w="1650"/>
            <w:tcMar>
              <w:top w:type="dxa" w:w="80"/>
              <w:left w:type="dxa" w:w="120"/>
              <w:bottom w:type="dxa" w:w="80"/>
              <w:right w:type="dxa" w:w="120"/>
            </w:tcMar>
          </w:tcPr>
          <w:p>
            <w:pPr>
              <w:spacing w:after="0" w:line="260"/>
              <w:jc w:val="right"/>
            </w:pPr>
            <w:r>
              <w:rPr>
                <w:rFonts w:ascii="Arial" w:cs="Arial" w:eastAsia="Arial" w:hAnsi="Arial"/>
                <w:b w:val="false"/>
                <w:bCs w:val="false"/>
                <w:sz w:val="20"/>
                <w:szCs w:val="20"/>
              </w:rPr>
              <w:t xml:space="preserve">$4,769.5m</w:t>
            </w:r>
          </w:p>
        </w:tc>
        <w:tc>
          <w:tcPr>
            <w:tcW w:type="dxa" w:w="1650"/>
            <w:tcMar>
              <w:top w:type="dxa" w:w="80"/>
              <w:left w:type="dxa" w:w="120"/>
              <w:bottom w:type="dxa" w:w="80"/>
              <w:right w:type="dxa" w:w="120"/>
            </w:tcMar>
          </w:tcPr>
          <w:p>
            <w:pPr>
              <w:spacing w:after="0" w:line="260"/>
              <w:jc w:val="right"/>
            </w:pPr>
            <w:r>
              <w:rPr>
                <w:rFonts w:ascii="Arial" w:cs="Arial" w:eastAsia="Arial" w:hAnsi="Arial"/>
                <w:b w:val="false"/>
                <w:bCs w:val="false"/>
                <w:sz w:val="20"/>
                <w:szCs w:val="20"/>
              </w:rPr>
              <w:t xml:space="preserve">~$6,420m</w:t>
            </w:r>
          </w:p>
        </w:tc>
      </w:tr>
      <w:tr>
        <w:tc>
          <w:tcPr>
            <w:tcW w:type="dxa" w:w="2760"/>
            <w:shd w:fill="F2F4F8" w:color="auto" w:val="clear"/>
            <w:tcMar>
              <w:top w:type="dxa" w:w="80"/>
              <w:left w:type="dxa" w:w="120"/>
              <w:bottom w:type="dxa" w:w="80"/>
              <w:right w:type="dxa" w:w="120"/>
            </w:tcMar>
          </w:tcPr>
          <w:p>
            <w:pPr>
              <w:spacing w:after="0" w:line="260"/>
              <w:jc w:val="left"/>
            </w:pPr>
            <w:r>
              <w:rPr>
                <w:rFonts w:ascii="Arial" w:cs="Arial" w:eastAsia="Arial" w:hAnsi="Arial"/>
                <w:b/>
                <w:bCs/>
                <w:sz w:val="20"/>
                <w:szCs w:val="20"/>
              </w:rPr>
              <w:t xml:space="preserve">Gross margin (GAAP)</w:t>
            </w:r>
          </w:p>
        </w:tc>
        <w:tc>
          <w:tcPr>
            <w:tcW w:type="dxa" w:w="1650"/>
            <w:shd w:fill="F2F4F8" w:color="auto" w:val="clear"/>
            <w:tcMar>
              <w:top w:type="dxa" w:w="80"/>
              <w:left w:type="dxa" w:w="120"/>
              <w:bottom w:type="dxa" w:w="80"/>
              <w:right w:type="dxa" w:w="120"/>
            </w:tcMar>
          </w:tcPr>
          <w:p>
            <w:pPr>
              <w:spacing w:after="0" w:line="260"/>
              <w:jc w:val="right"/>
            </w:pPr>
            <w:r>
              <w:rPr>
                <w:rFonts w:ascii="Arial" w:cs="Arial" w:eastAsia="Arial" w:hAnsi="Arial"/>
                <w:b w:val="false"/>
                <w:bCs w:val="false"/>
                <w:sz w:val="20"/>
                <w:szCs w:val="20"/>
              </w:rPr>
              <w:t xml:space="preserve">44.7%</w:t>
            </w:r>
          </w:p>
        </w:tc>
        <w:tc>
          <w:tcPr>
            <w:tcW w:type="dxa" w:w="1650"/>
            <w:shd w:fill="F2F4F8" w:color="auto" w:val="clear"/>
            <w:tcMar>
              <w:top w:type="dxa" w:w="80"/>
              <w:left w:type="dxa" w:w="120"/>
              <w:bottom w:type="dxa" w:w="80"/>
              <w:right w:type="dxa" w:w="120"/>
            </w:tcMar>
          </w:tcPr>
          <w:p>
            <w:pPr>
              <w:spacing w:after="0" w:line="260"/>
              <w:jc w:val="right"/>
            </w:pPr>
            <w:r>
              <w:rPr>
                <w:rFonts w:ascii="Arial" w:cs="Arial" w:eastAsia="Arial" w:hAnsi="Arial"/>
                <w:b w:val="false"/>
                <w:bCs w:val="false"/>
                <w:sz w:val="20"/>
                <w:szCs w:val="20"/>
              </w:rPr>
              <w:t xml:space="preserve">47.6%</w:t>
            </w:r>
          </w:p>
        </w:tc>
        <w:tc>
          <w:tcPr>
            <w:tcW w:type="dxa" w:w="1650"/>
            <w:shd w:fill="F2F4F8" w:color="auto" w:val="clear"/>
            <w:tcMar>
              <w:top w:type="dxa" w:w="80"/>
              <w:left w:type="dxa" w:w="120"/>
              <w:bottom w:type="dxa" w:w="80"/>
              <w:right w:type="dxa" w:w="120"/>
            </w:tcMar>
          </w:tcPr>
          <w:p>
            <w:pPr>
              <w:spacing w:after="0" w:line="260"/>
              <w:jc w:val="right"/>
            </w:pPr>
            <w:r>
              <w:rPr>
                <w:rFonts w:ascii="Arial" w:cs="Arial" w:eastAsia="Arial" w:hAnsi="Arial"/>
                <w:b w:val="false"/>
                <w:bCs w:val="false"/>
                <w:sz w:val="20"/>
                <w:szCs w:val="20"/>
              </w:rPr>
              <w:t xml:space="preserve">42.0%</w:t>
            </w:r>
          </w:p>
        </w:tc>
        <w:tc>
          <w:tcPr>
            <w:tcW w:type="dxa" w:w="1650"/>
            <w:shd w:fill="F2F4F8" w:color="auto" w:val="clear"/>
            <w:tcMar>
              <w:top w:type="dxa" w:w="80"/>
              <w:left w:type="dxa" w:w="120"/>
              <w:bottom w:type="dxa" w:w="80"/>
              <w:right w:type="dxa" w:w="120"/>
            </w:tcMar>
          </w:tcPr>
          <w:p>
            <w:pPr>
              <w:spacing w:after="0" w:line="260"/>
              <w:jc w:val="right"/>
            </w:pPr>
            <w:r>
              <w:rPr>
                <w:rFonts w:ascii="Arial" w:cs="Arial" w:eastAsia="Arial" w:hAnsi="Arial"/>
                <w:b w:val="false"/>
                <w:bCs w:val="false"/>
                <w:sz w:val="20"/>
                <w:szCs w:val="20"/>
              </w:rPr>
              <w:t xml:space="preserve">n/g</w:t>
            </w:r>
          </w:p>
        </w:tc>
      </w:tr>
      <w:tr>
        <w:tc>
          <w:tcPr>
            <w:tcW w:type="dxa" w:w="2760"/>
            <w:tcMar>
              <w:top w:type="dxa" w:w="80"/>
              <w:left w:type="dxa" w:w="120"/>
              <w:bottom w:type="dxa" w:w="80"/>
              <w:right w:type="dxa" w:w="120"/>
            </w:tcMar>
          </w:tcPr>
          <w:p>
            <w:pPr>
              <w:spacing w:after="0" w:line="260"/>
              <w:jc w:val="left"/>
            </w:pPr>
            <w:r>
              <w:rPr>
                <w:rFonts w:ascii="Arial" w:cs="Arial" w:eastAsia="Arial" w:hAnsi="Arial"/>
                <w:b/>
                <w:bCs/>
                <w:sz w:val="20"/>
                <w:szCs w:val="20"/>
              </w:rPr>
              <w:t xml:space="preserve">Adjusted operating margin</w:t>
            </w:r>
          </w:p>
        </w:tc>
        <w:tc>
          <w:tcPr>
            <w:tcW w:type="dxa" w:w="1650"/>
            <w:tcMar>
              <w:top w:type="dxa" w:w="80"/>
              <w:left w:type="dxa" w:w="120"/>
              <w:bottom w:type="dxa" w:w="80"/>
              <w:right w:type="dxa" w:w="120"/>
            </w:tcMar>
          </w:tcPr>
          <w:p>
            <w:pPr>
              <w:spacing w:after="0" w:line="260"/>
              <w:jc w:val="right"/>
            </w:pPr>
            <w:r>
              <w:rPr>
                <w:rFonts w:ascii="Arial" w:cs="Arial" w:eastAsia="Arial" w:hAnsi="Arial"/>
                <w:b w:val="false"/>
                <w:bCs w:val="false"/>
                <w:sz w:val="20"/>
                <w:szCs w:val="20"/>
              </w:rPr>
              <w:t xml:space="preserve">11.4%</w:t>
            </w:r>
          </w:p>
        </w:tc>
        <w:tc>
          <w:tcPr>
            <w:tcW w:type="dxa" w:w="1650"/>
            <w:tcMar>
              <w:top w:type="dxa" w:w="80"/>
              <w:left w:type="dxa" w:w="120"/>
              <w:bottom w:type="dxa" w:w="80"/>
              <w:right w:type="dxa" w:w="120"/>
            </w:tcMar>
          </w:tcPr>
          <w:p>
            <w:pPr>
              <w:spacing w:after="0" w:line="260"/>
              <w:jc w:val="right"/>
            </w:pPr>
            <w:r>
              <w:rPr>
                <w:rFonts w:ascii="Arial" w:cs="Arial" w:eastAsia="Arial" w:hAnsi="Arial"/>
                <w:b w:val="false"/>
                <w:bCs w:val="false"/>
                <w:sz w:val="20"/>
                <w:szCs w:val="20"/>
              </w:rPr>
              <w:t xml:space="preserve">16.8%</w:t>
            </w:r>
          </w:p>
        </w:tc>
        <w:tc>
          <w:tcPr>
            <w:tcW w:type="dxa" w:w="1650"/>
            <w:tcMar>
              <w:top w:type="dxa" w:w="80"/>
              <w:left w:type="dxa" w:w="120"/>
              <w:bottom w:type="dxa" w:w="80"/>
              <w:right w:type="dxa" w:w="120"/>
            </w:tcMar>
          </w:tcPr>
          <w:p>
            <w:pPr>
              <w:spacing w:after="0" w:line="260"/>
              <w:jc w:val="right"/>
            </w:pPr>
            <w:r>
              <w:rPr>
                <w:rFonts w:ascii="Arial" w:cs="Arial" w:eastAsia="Arial" w:hAnsi="Arial"/>
                <w:b w:val="false"/>
                <w:bCs w:val="false"/>
                <w:sz w:val="20"/>
                <w:szCs w:val="20"/>
              </w:rPr>
              <w:t xml:space="preserve">11.2%</w:t>
            </w:r>
          </w:p>
        </w:tc>
        <w:tc>
          <w:tcPr>
            <w:tcW w:type="dxa" w:w="1650"/>
            <w:tcMar>
              <w:top w:type="dxa" w:w="80"/>
              <w:left w:type="dxa" w:w="120"/>
              <w:bottom w:type="dxa" w:w="80"/>
              <w:right w:type="dxa" w:w="120"/>
            </w:tcMar>
          </w:tcPr>
          <w:p>
            <w:pPr>
              <w:spacing w:after="0" w:line="260"/>
              <w:jc w:val="right"/>
            </w:pPr>
            <w:r>
              <w:rPr>
                <w:rFonts w:ascii="Arial" w:cs="Arial" w:eastAsia="Arial" w:hAnsi="Arial"/>
                <w:b w:val="false"/>
                <w:bCs w:val="false"/>
                <w:sz w:val="20"/>
                <w:szCs w:val="20"/>
              </w:rPr>
              <w:t xml:space="preserve">~19-20%</w:t>
            </w:r>
          </w:p>
        </w:tc>
      </w:tr>
      <w:tr>
        <w:tc>
          <w:tcPr>
            <w:tcW w:type="dxa" w:w="2760"/>
            <w:shd w:fill="F2F4F8" w:color="auto" w:val="clear"/>
            <w:tcMar>
              <w:top w:type="dxa" w:w="80"/>
              <w:left w:type="dxa" w:w="120"/>
              <w:bottom w:type="dxa" w:w="80"/>
              <w:right w:type="dxa" w:w="120"/>
            </w:tcMar>
          </w:tcPr>
          <w:p>
            <w:pPr>
              <w:spacing w:after="0" w:line="260"/>
              <w:jc w:val="left"/>
            </w:pPr>
            <w:r>
              <w:rPr>
                <w:rFonts w:ascii="Arial" w:cs="Arial" w:eastAsia="Arial" w:hAnsi="Arial"/>
                <w:b/>
                <w:bCs/>
                <w:sz w:val="20"/>
                <w:szCs w:val="20"/>
              </w:rPr>
              <w:t xml:space="preserve">R&amp;D, % of revenue</w:t>
            </w:r>
          </w:p>
        </w:tc>
        <w:tc>
          <w:tcPr>
            <w:tcW w:type="dxa" w:w="1650"/>
            <w:shd w:fill="F2F4F8" w:color="auto" w:val="clear"/>
            <w:tcMar>
              <w:top w:type="dxa" w:w="80"/>
              <w:left w:type="dxa" w:w="120"/>
              <w:bottom w:type="dxa" w:w="80"/>
              <w:right w:type="dxa" w:w="120"/>
            </w:tcMar>
          </w:tcPr>
          <w:p>
            <w:pPr>
              <w:spacing w:after="0" w:line="260"/>
              <w:jc w:val="right"/>
            </w:pPr>
            <w:r>
              <w:rPr>
                <w:rFonts w:ascii="Arial" w:cs="Arial" w:eastAsia="Arial" w:hAnsi="Arial"/>
                <w:b w:val="false"/>
                <w:bCs w:val="false"/>
                <w:sz w:val="20"/>
                <w:szCs w:val="20"/>
              </w:rPr>
              <w:t xml:space="preserve">17.4%</w:t>
            </w:r>
          </w:p>
        </w:tc>
        <w:tc>
          <w:tcPr>
            <w:tcW w:type="dxa" w:w="1650"/>
            <w:shd w:fill="F2F4F8" w:color="auto" w:val="clear"/>
            <w:tcMar>
              <w:top w:type="dxa" w:w="80"/>
              <w:left w:type="dxa" w:w="120"/>
              <w:bottom w:type="dxa" w:w="80"/>
              <w:right w:type="dxa" w:w="120"/>
            </w:tcMar>
          </w:tcPr>
          <w:p>
            <w:pPr>
              <w:spacing w:after="0" w:line="260"/>
              <w:jc w:val="right"/>
            </w:pPr>
            <w:r>
              <w:rPr>
                <w:rFonts w:ascii="Arial" w:cs="Arial" w:eastAsia="Arial" w:hAnsi="Arial"/>
                <w:b w:val="false"/>
                <w:bCs w:val="false"/>
                <w:sz w:val="20"/>
                <w:szCs w:val="20"/>
              </w:rPr>
              <w:t xml:space="preserve">14.8%</w:t>
            </w:r>
          </w:p>
        </w:tc>
        <w:tc>
          <w:tcPr>
            <w:tcW w:type="dxa" w:w="1650"/>
            <w:shd w:fill="F2F4F8" w:color="auto" w:val="clear"/>
            <w:tcMar>
              <w:top w:type="dxa" w:w="80"/>
              <w:left w:type="dxa" w:w="120"/>
              <w:bottom w:type="dxa" w:w="80"/>
              <w:right w:type="dxa" w:w="120"/>
            </w:tcMar>
          </w:tcPr>
          <w:p>
            <w:pPr>
              <w:spacing w:after="0" w:line="260"/>
              <w:jc w:val="right"/>
            </w:pPr>
            <w:r>
              <w:rPr>
                <w:rFonts w:ascii="Arial" w:cs="Arial" w:eastAsia="Arial" w:hAnsi="Arial"/>
                <w:b w:val="false"/>
                <w:bCs w:val="false"/>
                <w:sz w:val="20"/>
                <w:szCs w:val="20"/>
              </w:rPr>
              <w:t xml:space="preserve">17.8%</w:t>
            </w:r>
          </w:p>
        </w:tc>
        <w:tc>
          <w:tcPr>
            <w:tcW w:type="dxa" w:w="1650"/>
            <w:shd w:fill="F2F4F8" w:color="auto" w:val="clear"/>
            <w:tcMar>
              <w:top w:type="dxa" w:w="80"/>
              <w:left w:type="dxa" w:w="120"/>
              <w:bottom w:type="dxa" w:w="80"/>
              <w:right w:type="dxa" w:w="120"/>
            </w:tcMar>
          </w:tcPr>
          <w:p>
            <w:pPr>
              <w:spacing w:after="0" w:line="260"/>
              <w:jc w:val="right"/>
            </w:pPr>
            <w:r>
              <w:rPr>
                <w:rFonts w:ascii="Arial" w:cs="Arial" w:eastAsia="Arial" w:hAnsi="Arial"/>
                <w:b w:val="false"/>
                <w:bCs w:val="false"/>
                <w:sz w:val="20"/>
                <w:szCs w:val="20"/>
              </w:rPr>
              <w:t xml:space="preserve">n/g</w:t>
            </w:r>
          </w:p>
        </w:tc>
      </w:tr>
      <w:tr>
        <w:tc>
          <w:tcPr>
            <w:tcW w:type="dxa" w:w="2760"/>
            <w:tcMar>
              <w:top w:type="dxa" w:w="80"/>
              <w:left w:type="dxa" w:w="120"/>
              <w:bottom w:type="dxa" w:w="80"/>
              <w:right w:type="dxa" w:w="120"/>
            </w:tcMar>
          </w:tcPr>
          <w:p>
            <w:pPr>
              <w:spacing w:after="0" w:line="260"/>
              <w:jc w:val="left"/>
            </w:pPr>
            <w:r>
              <w:rPr>
                <w:rFonts w:ascii="Arial" w:cs="Arial" w:eastAsia="Arial" w:hAnsi="Arial"/>
                <w:b/>
                <w:bCs/>
                <w:sz w:val="20"/>
                <w:szCs w:val="20"/>
              </w:rPr>
              <w:t xml:space="preserve">Cash from operations</w:t>
            </w:r>
          </w:p>
        </w:tc>
        <w:tc>
          <w:tcPr>
            <w:tcW w:type="dxa" w:w="1650"/>
            <w:tcMar>
              <w:top w:type="dxa" w:w="80"/>
              <w:left w:type="dxa" w:w="120"/>
              <w:bottom w:type="dxa" w:w="80"/>
              <w:right w:type="dxa" w:w="120"/>
            </w:tcMar>
          </w:tcPr>
          <w:p>
            <w:pPr>
              <w:spacing w:after="0" w:line="260"/>
              <w:jc w:val="right"/>
            </w:pPr>
            <w:r>
              <w:rPr>
                <w:rFonts w:ascii="Arial" w:cs="Arial" w:eastAsia="Arial" w:hAnsi="Arial"/>
                <w:b w:val="false"/>
                <w:bCs w:val="false"/>
                <w:sz w:val="20"/>
                <w:szCs w:val="20"/>
              </w:rPr>
              <w:t xml:space="preserve">$289.5m</w:t>
            </w:r>
          </w:p>
        </w:tc>
        <w:tc>
          <w:tcPr>
            <w:tcW w:type="dxa" w:w="1650"/>
            <w:tcMar>
              <w:top w:type="dxa" w:w="80"/>
              <w:left w:type="dxa" w:w="120"/>
              <w:bottom w:type="dxa" w:w="80"/>
              <w:right w:type="dxa" w:w="120"/>
            </w:tcMar>
          </w:tcPr>
          <w:p>
            <w:pPr>
              <w:spacing w:after="0" w:line="260"/>
              <w:jc w:val="right"/>
            </w:pPr>
            <w:r>
              <w:rPr>
                <w:rFonts w:ascii="Arial" w:cs="Arial" w:eastAsia="Arial" w:hAnsi="Arial"/>
                <w:b w:val="false"/>
                <w:bCs w:val="false"/>
                <w:sz w:val="20"/>
                <w:szCs w:val="20"/>
              </w:rPr>
              <w:t xml:space="preserve">$541.6m</w:t>
            </w:r>
          </w:p>
        </w:tc>
        <w:tc>
          <w:tcPr>
            <w:tcW w:type="dxa" w:w="1650"/>
            <w:tcMar>
              <w:top w:type="dxa" w:w="80"/>
              <w:left w:type="dxa" w:w="120"/>
              <w:bottom w:type="dxa" w:w="80"/>
              <w:right w:type="dxa" w:w="120"/>
            </w:tcMar>
          </w:tcPr>
          <w:p>
            <w:pPr>
              <w:spacing w:after="0" w:line="260"/>
              <w:jc w:val="right"/>
            </w:pPr>
            <w:r>
              <w:rPr>
                <w:rFonts w:ascii="Arial" w:cs="Arial" w:eastAsia="Arial" w:hAnsi="Arial"/>
                <w:b w:val="false"/>
                <w:bCs w:val="false"/>
                <w:sz w:val="20"/>
                <w:szCs w:val="20"/>
              </w:rPr>
              <w:t xml:space="preserve">$806.1m</w:t>
            </w:r>
          </w:p>
        </w:tc>
        <w:tc>
          <w:tcPr>
            <w:tcW w:type="dxa" w:w="1650"/>
            <w:tcMar>
              <w:top w:type="dxa" w:w="80"/>
              <w:left w:type="dxa" w:w="120"/>
              <w:bottom w:type="dxa" w:w="80"/>
              <w:right w:type="dxa" w:w="120"/>
            </w:tcMar>
          </w:tcPr>
          <w:p>
            <w:pPr>
              <w:spacing w:after="0" w:line="260"/>
              <w:jc w:val="right"/>
            </w:pPr>
            <w:r>
              <w:rPr>
                <w:rFonts w:ascii="Arial" w:cs="Arial" w:eastAsia="Arial" w:hAnsi="Arial"/>
                <w:b w:val="false"/>
                <w:bCs w:val="false"/>
                <w:sz w:val="20"/>
                <w:szCs w:val="20"/>
              </w:rPr>
              <w:t xml:space="preserve">n/g</w:t>
            </w:r>
          </w:p>
        </w:tc>
      </w:tr>
      <w:tr>
        <w:tc>
          <w:tcPr>
            <w:tcW w:type="dxa" w:w="2760"/>
            <w:shd w:fill="F2F4F8" w:color="auto" w:val="clear"/>
            <w:tcMar>
              <w:top w:type="dxa" w:w="80"/>
              <w:left w:type="dxa" w:w="120"/>
              <w:bottom w:type="dxa" w:w="80"/>
              <w:right w:type="dxa" w:w="120"/>
            </w:tcMar>
          </w:tcPr>
          <w:p>
            <w:pPr>
              <w:spacing w:after="0" w:line="260"/>
              <w:jc w:val="left"/>
            </w:pPr>
            <w:r>
              <w:rPr>
                <w:rFonts w:ascii="Arial" w:cs="Arial" w:eastAsia="Arial" w:hAnsi="Arial"/>
                <w:b/>
                <w:bCs/>
                <w:sz w:val="20"/>
                <w:szCs w:val="20"/>
              </w:rPr>
              <w:t xml:space="preserve">Diluted shares</w:t>
            </w:r>
          </w:p>
        </w:tc>
        <w:tc>
          <w:tcPr>
            <w:tcW w:type="dxa" w:w="1650"/>
            <w:shd w:fill="F2F4F8" w:color="auto" w:val="clear"/>
            <w:tcMar>
              <w:top w:type="dxa" w:w="80"/>
              <w:left w:type="dxa" w:w="120"/>
              <w:bottom w:type="dxa" w:w="80"/>
              <w:right w:type="dxa" w:w="120"/>
            </w:tcMar>
          </w:tcPr>
          <w:p>
            <w:pPr>
              <w:spacing w:after="0" w:line="260"/>
              <w:jc w:val="right"/>
            </w:pPr>
            <w:r>
              <w:rPr>
                <w:rFonts w:ascii="Arial" w:cs="Arial" w:eastAsia="Arial" w:hAnsi="Arial"/>
                <w:b w:val="false"/>
                <w:bCs w:val="false"/>
                <w:sz w:val="20"/>
                <w:szCs w:val="20"/>
              </w:rPr>
              <w:t xml:space="preserve">150.7m</w:t>
            </w:r>
          </w:p>
        </w:tc>
        <w:tc>
          <w:tcPr>
            <w:tcW w:type="dxa" w:w="1650"/>
            <w:shd w:fill="F2F4F8" w:color="auto" w:val="clear"/>
            <w:tcMar>
              <w:top w:type="dxa" w:w="80"/>
              <w:left w:type="dxa" w:w="120"/>
              <w:bottom w:type="dxa" w:w="80"/>
              <w:right w:type="dxa" w:w="120"/>
            </w:tcMar>
          </w:tcPr>
          <w:p>
            <w:pPr>
              <w:spacing w:after="0" w:line="260"/>
              <w:jc w:val="right"/>
            </w:pPr>
            <w:r>
              <w:rPr>
                <w:rFonts w:ascii="Arial" w:cs="Arial" w:eastAsia="Arial" w:hAnsi="Arial"/>
                <w:b w:val="false"/>
                <w:bCs w:val="false"/>
                <w:sz w:val="20"/>
                <w:szCs w:val="20"/>
              </w:rPr>
              <w:t xml:space="preserve">156.7m</w:t>
            </w:r>
          </w:p>
        </w:tc>
        <w:tc>
          <w:tcPr>
            <w:tcW w:type="dxa" w:w="1650"/>
            <w:shd w:fill="F2F4F8" w:color="auto" w:val="clear"/>
            <w:tcMar>
              <w:top w:type="dxa" w:w="80"/>
              <w:left w:type="dxa" w:w="120"/>
              <w:bottom w:type="dxa" w:w="80"/>
              <w:right w:type="dxa" w:w="120"/>
            </w:tcMar>
          </w:tcPr>
          <w:p>
            <w:pPr>
              <w:spacing w:after="0" w:line="260"/>
              <w:jc w:val="right"/>
            </w:pPr>
            <w:r>
              <w:rPr>
                <w:rFonts w:ascii="Arial" w:cs="Arial" w:eastAsia="Arial" w:hAnsi="Arial"/>
                <w:b w:val="false"/>
                <w:bCs w:val="false"/>
                <w:sz w:val="20"/>
                <w:szCs w:val="20"/>
              </w:rPr>
              <w:t xml:space="preserve">145.2m</w:t>
            </w:r>
          </w:p>
        </w:tc>
        <w:tc>
          <w:tcPr>
            <w:tcW w:type="dxa" w:w="1650"/>
            <w:shd w:fill="F2F4F8" w:color="auto" w:val="clear"/>
            <w:tcMar>
              <w:top w:type="dxa" w:w="80"/>
              <w:left w:type="dxa" w:w="120"/>
              <w:bottom w:type="dxa" w:w="80"/>
              <w:right w:type="dxa" w:w="120"/>
            </w:tcMar>
          </w:tcPr>
          <w:p>
            <w:pPr>
              <w:spacing w:after="0" w:line="260"/>
              <w:jc w:val="right"/>
            </w:pPr>
            <w:r>
              <w:rPr>
                <w:rFonts w:ascii="Arial" w:cs="Arial" w:eastAsia="Arial" w:hAnsi="Arial"/>
                <w:b w:val="false"/>
                <w:bCs w:val="false"/>
                <w:sz w:val="20"/>
                <w:szCs w:val="20"/>
              </w:rPr>
              <w:t xml:space="preserve">n/g</w:t>
            </w:r>
          </w:p>
        </w:tc>
      </w:tr>
    </w:tbl>
    <w:p>
      <w:pPr>
        <w:spacing w:after="200" w:before="80"/>
      </w:pPr>
      <w:r>
        <w:rPr>
          <w:rFonts w:ascii="Arial" w:cs="Arial" w:eastAsia="Arial" w:hAnsi="Arial"/>
          <w:i/>
          <w:iCs/>
          <w:color w:val="595959"/>
          <w:sz w:val="18"/>
          <w:szCs w:val="18"/>
        </w:rPr>
        <w:t xml:space="preserve">Sources: 10-Ks for the fiscal years shown; adjusted operating margin from the Q4 release of each year, as the 10-Ks contain no non-GAAP measures; FY2026 from guidance of 3 Sep 2026 and the implied full-year figures in the Q4 guide. Years are not fully comparable: FY2017 net income was inflated by a $1.1bn deferred-tax valuation-allowance release and FY2018 reversed $472.8m of it under the Tax Cuts and Jobs Act; FY2018 and FY2024 were 53-week years; ASC 606 was adopted in FY2019, which also split the software segment in two; geographic regions went from four to three in FY2020; FY2022 operating cash flow was negative $167.8m on a $589m inventory build; and segment profit was recast in Q4 FY2025 to exclude share-based compensation, restating FY2023 and FY2024 but not earlier years.</w:t>
      </w:r>
    </w:p>
    <w:p>
      <w:pPr>
        <w:pStyle w:val="Heading2"/>
        <w:spacing w:after="180" w:before="180"/>
      </w:pPr>
      <w:r>
        <w:rPr>
          <w:rFonts w:ascii="Arial" w:cs="Arial" w:eastAsia="Arial" w:hAnsi="Arial"/>
          <w:b/>
          <w:bCs/>
          <w:color w:val="1F3864"/>
          <w:sz w:val="28"/>
          <w:szCs w:val="28"/>
        </w:rPr>
        <w:t xml:space="preserve">Cash conversion and where it is going now</w:t>
      </w:r>
    </w:p>
    <w:p>
      <w:pPr>
        <w:spacing w:after="140" w:line="276"/>
      </w:pPr>
      <w:r>
        <w:rPr>
          <w:rFonts w:ascii="Arial" w:cs="Arial" w:eastAsia="Arial" w:hAnsi="Arial"/>
          <w:sz w:val="22"/>
          <w:szCs w:val="22"/>
        </w:rPr>
        <w:t xml:space="preserve">Operating cash flow was $683.6m for the first nine months of FY2026 against $435.0m a year earlier. Free cash flow, however, fell 14% in the most recent quarter, to $116m, because capital expenditure for the nine months doubled to $194.9m, receivables rose $251.5m and inventory rose $118.3m. This is what a supply ramp costs. Ciena is also buying ahead: purchase commitments to contract manufacturers and component suppliers stood at $3.3bn on 1 August 2026, against $2.1bn at the prior fiscal year end and $1.7bn the year before, and the company has entered multi-year supplier agreements "some of which involve firm purchase commitments and prepayment arrangements." The obligation is real; the demand behind it is forecast.</w:t>
      </w:r>
    </w:p>
    <w:p>
      <w:pPr>
        <w:spacing w:after="140" w:line="276"/>
      </w:pPr>
      <w:r>
        <w:rPr>
          <w:rFonts w:ascii="Arial" w:cs="Arial" w:eastAsia="Arial" w:hAnsi="Arial"/>
          <w:sz w:val="22"/>
          <w:szCs w:val="22"/>
        </w:rPr>
        <w:t xml:space="preserve">Against that, the excess-and-obsolete inventory provision was $72.4m for nine months of FY2026 versus $34.2m a year earlier, and the 10-Q attributes it to "reductions in forecasted demand for certain products." That sentence sits inside the same document that describes historically high backlog. Both can be true — the company can be short of the parts customers want and long the parts they do not — but a rising obsolescence charge during a demand boom is the kind of detail that reads differently in hindsight, and it is worth tracking quarter by quarter.</w:t>
      </w:r>
    </w:p>
    <w:p>
      <w:pPr>
        <w:pStyle w:val="Heading2"/>
        <w:spacing w:after="180" w:before="180"/>
      </w:pPr>
      <w:r>
        <w:rPr>
          <w:rFonts w:ascii="Arial" w:cs="Arial" w:eastAsia="Arial" w:hAnsi="Arial"/>
          <w:b/>
          <w:bCs/>
          <w:color w:val="1F3864"/>
          <w:sz w:val="28"/>
          <w:szCs w:val="28"/>
        </w:rPr>
        <w:t xml:space="preserve">Capital allocation</w:t>
      </w:r>
    </w:p>
    <w:p>
      <w:pPr>
        <w:spacing w:after="140" w:line="276"/>
      </w:pPr>
      <w:r>
        <w:rPr>
          <w:rFonts w:ascii="Arial" w:cs="Arial" w:eastAsia="Arial" w:hAnsi="Arial"/>
          <w:sz w:val="22"/>
          <w:szCs w:val="22"/>
        </w:rPr>
        <w:t xml:space="preserve">Where the cash went over ten fiscal years, FY2016 through FY2025, summed from the annual cash flow statements: share buybacks $1,758.9m, capital expenditure $968.7m, debt repayment $849.4m, acquisitions $666.2m, dividends nil. Ciena has never paid a dividend and its credit agreement restricted them absent lender approval. Buybacks and M&amp;A together consumed roughly 95% of the $2,554.7m of cash the business generated after capital expenditure over the period.</w:t>
      </w:r>
    </w:p>
    <w:p>
      <w:pPr>
        <w:spacing w:after="140" w:line="276"/>
      </w:pPr>
      <w:r>
        <w:rPr>
          <w:rFonts w:ascii="Arial" w:cs="Arial" w:eastAsia="Arial" w:hAnsi="Arial"/>
          <w:sz w:val="22"/>
          <w:szCs w:val="22"/>
        </w:rPr>
        <w:t xml:space="preserve">The buyback record is the most revealing thing in the capital account. Shares outstanding were 139.8m at the end of FY2016, rose to 154.9m by FY2021 — largely because convertible notes converted into 12.2m shares in FY2018 — and stood at 141.0m at the end of FY2025. Ten years and $1.76bn of repurchases left the count 0.9% higher than where it started. Share-based compensation rose from $52.0m to $184.5m over the same period. For most of the decade the buyback was an offset to dilution rather than a reduction in the share count, and only from FY2023 did the count actually fall. Purchase prices tell their own story about timing: the FY2025 programme averaged $83.38 a share, the fourth quarter of FY2025 averaged $165.44, and repurchases through 28 August 2026 averaged $404.52. Ciena bought fewer shares as the price rose, which is arithmetically what a fixed-dollar authorisation does, but it also means the bulk of the decade's repurchases were executed well below current levels rather than at them.</w:t>
      </w:r>
    </w:p>
    <w:p>
      <w:pPr>
        <w:spacing w:after="140" w:line="276"/>
      </w:pPr>
      <w:r>
        <w:rPr>
          <w:rFonts w:ascii="Arial" w:cs="Arial" w:eastAsia="Arial" w:hAnsi="Arial"/>
          <w:sz w:val="22"/>
          <w:szCs w:val="22"/>
        </w:rPr>
        <w:t xml:space="preserve">The balance sheet was restructured in June 2026 and the terms are unusually favourable. Ciena issued $2.88bn of convertible senior notes due 2031 at a 0.00% coupon, with an initial conversion price of roughly $746.66, paying $988.4m for a note hedge and receiving $873.4m from warrants; it used part of the proceeds to repay the $1.14bn term loan in full. Quarterly interest expense fell from $22.8m to $5.8m. Cash and investments stood at $2,843.6m against $3,229.8m of carrying-value debt — net debt of $431m and gross leverage of 2.6x. The company has effectively funded a multi-year supply build with a zero-coupon instrument, at the cost of a dilution obligation that only bites well above the current share price.</w:t>
      </w:r>
    </w:p>
    <w:p>
      <w:r>
        <w:br w:type="page"/>
      </w:r>
    </w:p>
    <w:p>
      <w:pPr>
        <w:pStyle w:val="Heading1"/>
        <w:spacing w:after="200" w:before="360"/>
      </w:pPr>
      <w:r>
        <w:rPr>
          <w:rFonts w:ascii="Arial" w:cs="Arial" w:eastAsia="Arial" w:hAnsi="Arial"/>
          <w:b/>
          <w:bCs/>
          <w:color w:val="1F3864"/>
          <w:sz w:val="32"/>
          <w:szCs w:val="32"/>
        </w:rPr>
        <w:t xml:space="preserve">6. Cyclicality, Constraints and What to Monitor</w:t>
      </w:r>
    </w:p>
    <w:p>
      <w:pPr>
        <w:spacing w:after="140" w:line="276"/>
      </w:pPr>
      <w:r>
        <w:rPr>
          <w:rFonts w:ascii="Arial" w:cs="Arial" w:eastAsia="Arial" w:hAnsi="Arial"/>
          <w:sz w:val="22"/>
          <w:szCs w:val="22"/>
        </w:rPr>
        <w:t xml:space="preserve">This business is not merely cyclical; it has been through a full cycle in the last three years, which makes the shape of the last one the most useful thing available. Customer inventory digestion began in the fourth quarter of 2023. The industry contracted for four quarters, falling 18% year on year in the third quarter of 2024 and 13% for the full year, with India down 40% and China down 30% (Dell'Oro, 25 Feb 2025). Ciena's own revenue fell 8.5% in FY2024 to $4,015.0m, and adjusted operating margin bottomed at 6.8% in the quarter ended 27 April 2024. Then the market rebounded roughly 45% sequentially in the fourth quarter of 2024 and Dell'Oro declared the glut over. Four quarters down, and the recovery was violent.</w:t>
      </w:r>
    </w:p>
    <w:p>
      <w:pPr>
        <w:pStyle w:val="Heading2"/>
        <w:spacing w:after="180" w:before="180"/>
      </w:pPr>
      <w:r>
        <w:rPr>
          <w:rFonts w:ascii="Arial" w:cs="Arial" w:eastAsia="Arial" w:hAnsi="Arial"/>
          <w:b/>
          <w:bCs/>
          <w:color w:val="1F3864"/>
          <w:sz w:val="28"/>
          <w:szCs w:val="28"/>
        </w:rPr>
        <w:t xml:space="preserve">Where the business sits right now</w:t>
      </w:r>
    </w:p>
    <w:p>
      <w:pPr>
        <w:spacing w:after="140" w:line="276"/>
      </w:pPr>
      <w:r>
        <w:rPr>
          <w:rFonts w:ascii="Arial" w:cs="Arial" w:eastAsia="Arial" w:hAnsi="Arial"/>
          <w:sz w:val="22"/>
          <w:szCs w:val="22"/>
        </w:rPr>
        <w:t xml:space="preserve">Revenue is at an all-time high and well above any prior peak: the most recent quarter annualises to roughly $6.7bn against a previous best full year of $4.77bn. Adjusted operating margin at 22.5% is above every prior peak the company has recorded — the previous high was 17.6% in FY2020. But adjusted gross margin at 46.4% is still below the FY2021 peak of 47.9%, and below the 49.5% quarterly print of the fourth quarter of FY2020. That combination is the tell. Ciena is not earning a record margin because its product economics improved beyond anything it has achieved before; it is earning a record margin because a normal-to-good gross margin is being spread across a revenue base half again as large as the one that carried the same fixed costs two years ago. Operating leverage, not pricing.</w:t>
      </w:r>
    </w:p>
    <w:p>
      <w:pPr>
        <w:spacing w:after="140" w:line="276"/>
      </w:pPr>
      <w:r>
        <w:rPr>
          <w:rFonts w:ascii="Arial" w:cs="Arial" w:eastAsia="Arial" w:hAnsi="Arial"/>
          <w:sz w:val="22"/>
          <w:szCs w:val="22"/>
        </w:rPr>
        <w:t xml:space="preserve">The demand underneath it is split in a way that matters. Carrier capital spending was flat globally in 2025 and Dell'Oro forecasts a 2% decline in 2026 and a 1% compound growth rate to 2030 (2 Apr 2026). AT&amp;T guides to $23-24bn of investment in 2026 and Verizon to $16.0-16.5bn, but BT has guided FY2027 capital expenditure down roughly £0.8bn. Cloud providers, meanwhile, are now 34% of the whole optical transport market (Dell'Oro, 21 Aug 2026) and are the entire growth. Submarine cable construction is a genuine third leg: cables planned to enter service between 2026 and 2029 exceed $16bn of investment, against an average above $2bn a year over the prior nine years (TeleGeography, 28 Apr 2026).</w:t>
      </w:r>
    </w:p>
    <w:p>
      <w:pPr>
        <w:spacing w:after="140" w:line="276"/>
      </w:pPr>
      <w:r>
        <w:rPr>
          <w:rFonts w:ascii="Arial" w:cs="Arial" w:eastAsia="Arial" w:hAnsi="Arial"/>
          <w:sz w:val="22"/>
          <w:szCs w:val="22"/>
        </w:rPr>
        <w:t xml:space="preserve">The downside case does not require a recession. It requires only that the AI interconnect buildout prove to be a step change rather than a run rate. Cloud is 34% of the market and growing 40-60%; if that flattens, the 2024 template says the market falls into a four-quarter digestion of roughly 13%, and Ciena's revenue falls harder than the market because two customers are 41.7% of it. The second mechanism is slower and worse: if disaggregation continues past the thresholds set out in Section 3, the transport vendor's product converges on an amplifier and a management plane, and the layer's economics converge on Fabrinet's. The third is specific: a single top-four cloud provider standardising on merchant ZR+ optics with an open line system would remove the integrated system sale from its interconnect spending entirely.</w:t>
      </w:r>
    </w:p>
    <w:p>
      <w:pPr>
        <w:pStyle w:val="Heading2"/>
        <w:spacing w:after="180" w:before="180"/>
      </w:pPr>
      <w:r>
        <w:rPr>
          <w:rFonts w:ascii="Arial" w:cs="Arial" w:eastAsia="Arial" w:hAnsi="Arial"/>
          <w:b/>
          <w:bCs/>
          <w:color w:val="1F3864"/>
          <w:sz w:val="28"/>
          <w:szCs w:val="28"/>
        </w:rPr>
        <w:t xml:space="preserve">Durable versus borrowed</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4680"/>
        <w:gridCol w:w="4680"/>
      </w:tblGrid>
      <w:tr>
        <w:trPr>
          <w:tblHeader/>
        </w:trPr>
        <w:tc>
          <w:tcPr>
            <w:tcW w:type="dxa" w:w="4680"/>
            <w:shd w:fill="1F3864" w:color="auto" w:val="clear"/>
            <w:tcMar>
              <w:top w:type="dxa" w:w="80"/>
              <w:left w:type="dxa" w:w="120"/>
              <w:bottom w:type="dxa" w:w="80"/>
              <w:right w:type="dxa" w:w="120"/>
            </w:tcMar>
          </w:tcPr>
          <w:p>
            <w:pPr>
              <w:spacing w:after="0" w:line="260"/>
              <w:jc w:val="left"/>
            </w:pPr>
            <w:r>
              <w:rPr>
                <w:rFonts w:ascii="Arial" w:cs="Arial" w:eastAsia="Arial" w:hAnsi="Arial"/>
                <w:b/>
                <w:bCs/>
                <w:color w:val="FFFFFF"/>
                <w:sz w:val="20"/>
                <w:szCs w:val="20"/>
              </w:rPr>
              <w:t xml:space="preserve">What survives ten years</w:t>
            </w:r>
          </w:p>
        </w:tc>
        <w:tc>
          <w:tcPr>
            <w:tcW w:type="dxa" w:w="4680"/>
            <w:shd w:fill="1F3864" w:color="auto" w:val="clear"/>
            <w:tcMar>
              <w:top w:type="dxa" w:w="80"/>
              <w:left w:type="dxa" w:w="120"/>
              <w:bottom w:type="dxa" w:w="80"/>
              <w:right w:type="dxa" w:w="120"/>
            </w:tcMar>
          </w:tcPr>
          <w:p>
            <w:pPr>
              <w:spacing w:after="0" w:line="260"/>
              <w:jc w:val="left"/>
            </w:pPr>
            <w:r>
              <w:rPr>
                <w:rFonts w:ascii="Arial" w:cs="Arial" w:eastAsia="Arial" w:hAnsi="Arial"/>
                <w:b/>
                <w:bCs/>
                <w:color w:val="FFFFFF"/>
                <w:sz w:val="20"/>
                <w:szCs w:val="20"/>
              </w:rPr>
              <w:t xml:space="preserve">What is helping right now</w:t>
            </w:r>
          </w:p>
        </w:tc>
      </w:tr>
      <w:tr>
        <w:tc>
          <w:tcPr>
            <w:tcW w:type="dxa" w:w="4680"/>
            <w:tcMar>
              <w:top w:type="dxa" w:w="80"/>
              <w:left w:type="dxa" w:w="120"/>
              <w:bottom w:type="dxa" w:w="80"/>
              <w:right w:type="dxa" w:w="120"/>
            </w:tcMar>
          </w:tcPr>
          <w:p>
            <w:pPr>
              <w:spacing w:after="0" w:line="260"/>
              <w:jc w:val="left"/>
            </w:pPr>
            <w:r>
              <w:rPr>
                <w:rFonts w:ascii="Arial" w:cs="Arial" w:eastAsia="Arial" w:hAnsi="Arial"/>
                <w:sz w:val="20"/>
                <w:szCs w:val="20"/>
              </w:rPr>
              <w:t xml:space="preserve">A captive coherent DSP programme, one of only six in the world, funded at roughly $850m a year</w:t>
            </w:r>
          </w:p>
        </w:tc>
        <w:tc>
          <w:tcPr>
            <w:tcW w:type="dxa" w:w="4680"/>
            <w:tcMar>
              <w:top w:type="dxa" w:w="80"/>
              <w:left w:type="dxa" w:w="120"/>
              <w:bottom w:type="dxa" w:w="80"/>
              <w:right w:type="dxa" w:w="120"/>
            </w:tcMar>
          </w:tcPr>
          <w:p>
            <w:pPr>
              <w:spacing w:after="0" w:line="260"/>
              <w:jc w:val="left"/>
            </w:pPr>
            <w:r>
              <w:rPr>
                <w:rFonts w:ascii="Arial" w:cs="Arial" w:eastAsia="Arial" w:hAnsi="Arial"/>
                <w:sz w:val="20"/>
                <w:szCs w:val="20"/>
              </w:rPr>
              <w:t xml:space="preserve">Two customers whose combined capital budgets set the growth rate — the concentration and the growth are the same fact</w:t>
            </w:r>
          </w:p>
        </w:tc>
      </w:tr>
      <w:tr>
        <w:tc>
          <w:tcPr>
            <w:tcW w:type="dxa" w:w="4680"/>
            <w:shd w:fill="F2F4F8" w:color="auto" w:val="clear"/>
            <w:tcMar>
              <w:top w:type="dxa" w:w="80"/>
              <w:left w:type="dxa" w:w="120"/>
              <w:bottom w:type="dxa" w:w="80"/>
              <w:right w:type="dxa" w:w="120"/>
            </w:tcMar>
          </w:tcPr>
          <w:p>
            <w:pPr>
              <w:spacing w:after="0" w:line="260"/>
              <w:jc w:val="left"/>
            </w:pPr>
            <w:r>
              <w:rPr>
                <w:rFonts w:ascii="Arial" w:cs="Arial" w:eastAsia="Arial" w:hAnsi="Arial"/>
                <w:sz w:val="20"/>
                <w:szCs w:val="20"/>
              </w:rPr>
              <w:t xml:space="preserve">Roughly 40% share of disaggregated WDM, the fastest-growing segment of the market</w:t>
            </w:r>
          </w:p>
        </w:tc>
        <w:tc>
          <w:tcPr>
            <w:tcW w:type="dxa" w:w="4680"/>
            <w:shd w:fill="F2F4F8" w:color="auto" w:val="clear"/>
            <w:tcMar>
              <w:top w:type="dxa" w:w="80"/>
              <w:left w:type="dxa" w:w="120"/>
              <w:bottom w:type="dxa" w:w="80"/>
              <w:right w:type="dxa" w:w="120"/>
            </w:tcMar>
          </w:tcPr>
          <w:p>
            <w:pPr>
              <w:spacing w:after="0" w:line="260"/>
              <w:jc w:val="left"/>
            </w:pPr>
            <w:r>
              <w:rPr>
                <w:rFonts w:ascii="Arial" w:cs="Arial" w:eastAsia="Arial" w:hAnsi="Arial"/>
                <w:sz w:val="20"/>
                <w:szCs w:val="20"/>
              </w:rPr>
              <w:t xml:space="preserve">A backlog that management itself says is partly inflated by industry-wide supply constraint</w:t>
            </w:r>
          </w:p>
        </w:tc>
      </w:tr>
      <w:tr>
        <w:tc>
          <w:tcPr>
            <w:tcW w:type="dxa" w:w="4680"/>
            <w:tcMar>
              <w:top w:type="dxa" w:w="80"/>
              <w:left w:type="dxa" w:w="120"/>
              <w:bottom w:type="dxa" w:w="80"/>
              <w:right w:type="dxa" w:w="120"/>
            </w:tcMar>
          </w:tcPr>
          <w:p>
            <w:pPr>
              <w:spacing w:after="0" w:line="260"/>
              <w:jc w:val="left"/>
            </w:pPr>
            <w:r>
              <w:rPr>
                <w:rFonts w:ascii="Arial" w:cs="Arial" w:eastAsia="Arial" w:hAnsi="Arial"/>
                <w:sz w:val="20"/>
                <w:szCs w:val="20"/>
              </w:rPr>
              <w:t xml:space="preserve">Line-system incumbency at large North American carriers and cloud operators</w:t>
            </w:r>
          </w:p>
        </w:tc>
        <w:tc>
          <w:tcPr>
            <w:tcW w:type="dxa" w:w="4680"/>
            <w:tcMar>
              <w:top w:type="dxa" w:w="80"/>
              <w:left w:type="dxa" w:w="120"/>
              <w:bottom w:type="dxa" w:w="80"/>
              <w:right w:type="dxa" w:w="120"/>
            </w:tcMar>
          </w:tcPr>
          <w:p>
            <w:pPr>
              <w:spacing w:after="0" w:line="260"/>
              <w:jc w:val="left"/>
            </w:pPr>
            <w:r>
              <w:rPr>
                <w:rFonts w:ascii="Arial" w:cs="Arial" w:eastAsia="Arial" w:hAnsi="Arial"/>
                <w:sz w:val="20"/>
                <w:szCs w:val="20"/>
              </w:rPr>
              <w:t xml:space="preserve">Tariff refunds, named by the company as a driver of the most recent quarter's gross-margin gain, unquantified</w:t>
            </w:r>
          </w:p>
        </w:tc>
      </w:tr>
      <w:tr>
        <w:tc>
          <w:tcPr>
            <w:tcW w:type="dxa" w:w="4680"/>
            <w:shd w:fill="F2F4F8" w:color="auto" w:val="clear"/>
            <w:tcMar>
              <w:top w:type="dxa" w:w="80"/>
              <w:left w:type="dxa" w:w="120"/>
              <w:bottom w:type="dxa" w:w="80"/>
              <w:right w:type="dxa" w:w="120"/>
            </w:tcMar>
          </w:tcPr>
          <w:p>
            <w:pPr>
              <w:spacing w:after="0" w:line="260"/>
              <w:jc w:val="left"/>
            </w:pPr>
            <w:r>
              <w:rPr>
                <w:rFonts w:ascii="Arial" w:cs="Arial" w:eastAsia="Arial" w:hAnsi="Arial"/>
                <w:sz w:val="20"/>
                <w:szCs w:val="20"/>
              </w:rPr>
              <w:t xml:space="preserve">$2.88bn of funding at a 0.00% coupon to 2031, and net debt of $431m</w:t>
            </w:r>
          </w:p>
        </w:tc>
        <w:tc>
          <w:tcPr>
            <w:tcW w:type="dxa" w:w="4680"/>
            <w:shd w:fill="F2F4F8" w:color="auto" w:val="clear"/>
            <w:tcMar>
              <w:top w:type="dxa" w:w="80"/>
              <w:left w:type="dxa" w:w="120"/>
              <w:bottom w:type="dxa" w:w="80"/>
              <w:right w:type="dxa" w:w="120"/>
            </w:tcMar>
          </w:tcPr>
          <w:p>
            <w:pPr>
              <w:spacing w:after="0" w:line="260"/>
              <w:jc w:val="left"/>
            </w:pPr>
            <w:r>
              <w:rPr>
                <w:rFonts w:ascii="Arial" w:cs="Arial" w:eastAsia="Arial" w:hAnsi="Arial"/>
                <w:sz w:val="20"/>
                <w:szCs w:val="20"/>
              </w:rPr>
              <w:t xml:space="preserve">A 14.2% GAAP tax rate helped by a share-based compensation benefit that moves with the share price</w:t>
            </w:r>
          </w:p>
        </w:tc>
      </w:tr>
      <w:tr>
        <w:tc>
          <w:tcPr>
            <w:tcW w:type="dxa" w:w="4680"/>
            <w:tcMar>
              <w:top w:type="dxa" w:w="80"/>
              <w:left w:type="dxa" w:w="120"/>
              <w:bottom w:type="dxa" w:w="80"/>
              <w:right w:type="dxa" w:w="120"/>
            </w:tcMar>
          </w:tcPr>
          <w:p>
            <w:pPr>
              <w:spacing w:after="0" w:line="260"/>
              <w:jc w:val="left"/>
            </w:pPr>
            <w:r>
              <w:rPr>
                <w:rFonts w:ascii="Arial" w:cs="Arial" w:eastAsia="Arial" w:hAnsi="Arial"/>
                <w:sz w:val="20"/>
                <w:szCs w:val="20"/>
              </w:rPr>
              <w:t xml:space="preserve">The scale to keep funding the roadmap through a digestion year, which competitors at breakeven cannot</w:t>
            </w:r>
          </w:p>
        </w:tc>
        <w:tc>
          <w:tcPr>
            <w:tcW w:type="dxa" w:w="4680"/>
            <w:tcMar>
              <w:top w:type="dxa" w:w="80"/>
              <w:left w:type="dxa" w:w="120"/>
              <w:bottom w:type="dxa" w:w="80"/>
              <w:right w:type="dxa" w:w="120"/>
            </w:tcMar>
          </w:tcPr>
          <w:p>
            <w:pPr>
              <w:spacing w:after="0" w:line="260"/>
              <w:jc w:val="left"/>
            </w:pPr>
            <w:r>
              <w:rPr>
                <w:rFonts w:ascii="Arial" w:cs="Arial" w:eastAsia="Arial" w:hAnsi="Arial"/>
                <w:sz w:val="20"/>
                <w:szCs w:val="20"/>
              </w:rPr>
              <w:t xml:space="preserve">Pricing and cost benefits of a demand-supply imbalance, which the company's own outlook language names as a variable</w:t>
            </w:r>
          </w:p>
        </w:tc>
      </w:tr>
    </w:tbl>
    <w:p>
      <w:pPr>
        <w:pStyle w:val="Heading2"/>
        <w:spacing w:after="180" w:before="180"/>
      </w:pPr>
      <w:r>
        <w:rPr>
          <w:rFonts w:ascii="Arial" w:cs="Arial" w:eastAsia="Arial" w:hAnsi="Arial"/>
          <w:b/>
          <w:bCs/>
          <w:color w:val="1F3864"/>
          <w:sz w:val="28"/>
          <w:szCs w:val="28"/>
        </w:rPr>
        <w:t xml:space="preserve">What to monitor, and where it is published</w:t>
      </w:r>
    </w:p>
    <w:p>
      <w:pPr>
        <w:pStyle w:val="ListParagraph"/>
        <w:numPr>
          <w:ilvl w:val="0"/>
          <w:numId w:val="2"/>
        </w:numPr>
        <w:spacing w:after="100" w:line="276"/>
      </w:pPr>
      <w:r>
        <w:rPr>
          <w:rFonts w:ascii="Arial" w:cs="Arial" w:eastAsia="Arial" w:hAnsi="Arial"/>
          <w:sz w:val="22"/>
          <w:szCs w:val="22"/>
        </w:rPr>
        <w:t xml:space="preserve">Cloud providers' share of optical transport market revenue, disaggregated WDM share, and DCI growth versus non-DCI — Dell'Oro Group quarterly optical transport releases.</w:t>
      </w:r>
    </w:p>
    <w:p>
      <w:pPr>
        <w:pStyle w:val="ListParagraph"/>
        <w:numPr>
          <w:ilvl w:val="0"/>
          <w:numId w:val="2"/>
        </w:numPr>
        <w:spacing w:after="100" w:line="276"/>
      </w:pPr>
      <w:r>
        <w:rPr>
          <w:rFonts w:ascii="Arial" w:cs="Arial" w:eastAsia="Arial" w:hAnsi="Arial"/>
          <w:sz w:val="22"/>
          <w:szCs w:val="22"/>
        </w:rPr>
        <w:t xml:space="preserve">Standalone coherent pluggable revenue and its share of WDM bandwidth shipped — Cignal AI quarterly transport hardware and component releases. This is the single best read on whether the revenue-intensity problem is accelerating.</w:t>
      </w:r>
    </w:p>
    <w:p>
      <w:pPr>
        <w:pStyle w:val="ListParagraph"/>
        <w:numPr>
          <w:ilvl w:val="0"/>
          <w:numId w:val="2"/>
        </w:numPr>
        <w:spacing w:after="100" w:line="276"/>
      </w:pPr>
      <w:r>
        <w:rPr>
          <w:rFonts w:ascii="Arial" w:cs="Arial" w:eastAsia="Arial" w:hAnsi="Arial"/>
          <w:sz w:val="22"/>
          <w:szCs w:val="22"/>
        </w:rPr>
        <w:t xml:space="preserve">Wavelength price erosion by route, and the submarine cable investment pipeline — TeleGeography.</w:t>
      </w:r>
    </w:p>
    <w:p>
      <w:pPr>
        <w:pStyle w:val="ListParagraph"/>
        <w:numPr>
          <w:ilvl w:val="0"/>
          <w:numId w:val="2"/>
        </w:numPr>
        <w:spacing w:after="100" w:line="276"/>
      </w:pPr>
      <w:r>
        <w:rPr>
          <w:rFonts w:ascii="Arial" w:cs="Arial" w:eastAsia="Arial" w:hAnsi="Arial"/>
          <w:sz w:val="22"/>
          <w:szCs w:val="22"/>
        </w:rPr>
        <w:t xml:space="preserve">Ciena's own 10-Q: the customer concentration note, the excess-and-obsolete inventory provision, and outstanding purchase commitments. These three together say whether the supply build is matched to real demand.</w:t>
      </w:r>
    </w:p>
    <w:p>
      <w:pPr>
        <w:pStyle w:val="ListParagraph"/>
        <w:numPr>
          <w:ilvl w:val="0"/>
          <w:numId w:val="2"/>
        </w:numPr>
        <w:spacing w:after="100" w:line="276"/>
      </w:pPr>
      <w:r>
        <w:rPr>
          <w:rFonts w:ascii="Arial" w:cs="Arial" w:eastAsia="Arial" w:hAnsi="Arial"/>
          <w:sz w:val="22"/>
          <w:szCs w:val="22"/>
        </w:rPr>
        <w:t xml:space="preserve">Ciena's fiscal-year 10-K backlog figure, disclosed only annually. The move from $2.1bn to $5.0bn was the leading indicator of the current year; the next print is the leading indicator of the one after.</w:t>
      </w:r>
    </w:p>
    <w:p>
      <w:pPr>
        <w:pStyle w:val="ListParagraph"/>
        <w:numPr>
          <w:ilvl w:val="0"/>
          <w:numId w:val="2"/>
        </w:numPr>
        <w:spacing w:after="100" w:line="276"/>
      </w:pPr>
      <w:r>
        <w:rPr>
          <w:rFonts w:ascii="Arial" w:cs="Arial" w:eastAsia="Arial" w:hAnsi="Arial"/>
          <w:sz w:val="22"/>
          <w:szCs w:val="22"/>
        </w:rPr>
        <w:t xml:space="preserve">Nokia's quarterly Optical Networks net sales and Network Infrastructure comparable operating margin — the cleanest public read on whether a direct competitor is seeing the same demand.</w:t>
      </w:r>
    </w:p>
    <w:p>
      <w:pPr>
        <w:pStyle w:val="ListParagraph"/>
        <w:numPr>
          <w:ilvl w:val="0"/>
          <w:numId w:val="2"/>
        </w:numPr>
        <w:spacing w:after="100" w:line="276"/>
      </w:pPr>
      <w:r>
        <w:rPr>
          <w:rFonts w:ascii="Arial" w:cs="Arial" w:eastAsia="Arial" w:hAnsi="Arial"/>
          <w:sz w:val="22"/>
          <w:szCs w:val="22"/>
        </w:rPr>
        <w:t xml:space="preserve">Global telecom capital expenditure — Dell'Oro's annual release, published in April.</w:t>
      </w:r>
    </w:p>
    <w:p>
      <w:r>
        <w:br w:type="page"/>
      </w:r>
    </w:p>
    <w:p>
      <w:pPr>
        <w:pStyle w:val="Heading1"/>
        <w:spacing w:after="200" w:before="360"/>
      </w:pPr>
      <w:r>
        <w:rPr>
          <w:rFonts w:ascii="Arial" w:cs="Arial" w:eastAsia="Arial" w:hAnsi="Arial"/>
          <w:b/>
          <w:bCs/>
          <w:color w:val="1F3864"/>
          <w:sz w:val="32"/>
          <w:szCs w:val="32"/>
        </w:rPr>
        <w:t xml:space="preserve">7. Risks, Unknowns and Questions for Deeper Work</w:t>
      </w:r>
    </w:p>
    <w:p>
      <w:pPr>
        <w:spacing w:after="140" w:line="276"/>
      </w:pPr>
      <w:r>
        <w:rPr>
          <w:rFonts w:ascii="Arial" w:cs="Arial" w:eastAsia="Arial" w:hAnsi="Arial"/>
          <w:sz w:val="22"/>
          <w:szCs w:val="22"/>
        </w:rPr>
        <w:t xml:space="preserve">Cyclicality is covered in the previous section. These are the risks that a normal cycle does not capture, ordered by how much they compound with each other.</w:t>
      </w:r>
    </w:p>
    <w:p>
      <w:pPr>
        <w:pStyle w:val="ListParagraph"/>
        <w:numPr>
          <w:ilvl w:val="0"/>
          <w:numId w:val="2"/>
        </w:numPr>
        <w:spacing w:after="100" w:line="276"/>
      </w:pPr>
      <w:r>
        <w:rPr>
          <w:rFonts w:ascii="Arial" w:cs="Arial" w:eastAsia="Arial" w:hAnsi="Arial"/>
          <w:b/>
          <w:bCs/>
          <w:sz w:val="22"/>
          <w:szCs w:val="22"/>
        </w:rPr>
        <w:t xml:space="preserve">Concentration and durability are the same question. </w:t>
      </w:r>
      <w:r>
        <w:rPr>
          <w:rFonts w:ascii="Arial" w:cs="Arial" w:eastAsia="Arial" w:hAnsi="Arial"/>
          <w:sz w:val="22"/>
          <w:szCs w:val="22"/>
        </w:rPr>
        <w:t xml:space="preserve">Two customers were 41.7% of the quarter ended 1 August 2026, one of them 28.5% alone, up from 26.1% in the first quarter of FY2025. Ciena's contracts "generally do not include minimum or guaranteed purchases and may allow customers to modify or cancel purchase orders" (FY2025 10-K). A single hyperscaler pausing its interconnect programme removes roughly a quarter of revenue against a research budget that cannot be cut without surrendering the roadmap, and the drop-through to operating profit is close to gross-margin rates. The same customer that makes the growth structural is the one that makes it fragile, and there is no way to hold one view without the other.</w:t>
      </w:r>
    </w:p>
    <w:p>
      <w:pPr>
        <w:pStyle w:val="ListParagraph"/>
        <w:numPr>
          <w:ilvl w:val="0"/>
          <w:numId w:val="2"/>
        </w:numPr>
        <w:spacing w:after="100" w:line="276"/>
      </w:pPr>
      <w:r>
        <w:rPr>
          <w:rFonts w:ascii="Arial" w:cs="Arial" w:eastAsia="Arial" w:hAnsi="Arial"/>
          <w:b/>
          <w:bCs/>
          <w:sz w:val="22"/>
          <w:szCs w:val="22"/>
        </w:rPr>
        <w:t xml:space="preserve">The supply build is committed against forecast demand, and the obsolescence charge is already rising. </w:t>
      </w:r>
      <w:r>
        <w:rPr>
          <w:rFonts w:ascii="Arial" w:cs="Arial" w:eastAsia="Arial" w:hAnsi="Arial"/>
          <w:sz w:val="22"/>
          <w:szCs w:val="22"/>
        </w:rPr>
        <w:t xml:space="preserve">Purchase commitments were $3.3bn on 1 August 2026, against net inventory of $872m, and some carry prepayments. Revenue is recognised at shipment rather than acceptance, so backlog converts fast in both directions. Meanwhile the excess-and-obsolete provision more than doubled year on year to $72.4m for nine months, on "reductions in forecasted demand for certain products." If the demand forecast is wrong, the committed parts arrive anyway, flow into inventory, and are written down through product cost of goods — which is exactly the sequence Ciena ran in FY2024, when it took $77.3m of such charges on lower forecast demand for service-provider products.</w:t>
      </w:r>
    </w:p>
    <w:p>
      <w:pPr>
        <w:pStyle w:val="ListParagraph"/>
        <w:numPr>
          <w:ilvl w:val="0"/>
          <w:numId w:val="2"/>
        </w:numPr>
        <w:spacing w:after="100" w:line="276"/>
      </w:pPr>
      <w:r>
        <w:rPr>
          <w:rFonts w:ascii="Arial" w:cs="Arial" w:eastAsia="Arial" w:hAnsi="Arial"/>
          <w:b/>
          <w:bCs/>
          <w:sz w:val="22"/>
          <w:szCs w:val="22"/>
        </w:rPr>
        <w:t xml:space="preserve">Bandwidth is migrating to a format that monetises at a fifth of the revenue intensity, and Ciena is not the leader in it. </w:t>
      </w:r>
      <w:r>
        <w:rPr>
          <w:rFonts w:ascii="Arial" w:cs="Arial" w:eastAsia="Arial" w:hAnsi="Arial"/>
          <w:sz w:val="22"/>
          <w:szCs w:val="22"/>
        </w:rPr>
        <w:t xml:space="preserve">Pluggables carry more than half of WDM bandwidth for roughly 11% of industry revenue. Ciena's own pluggable revenue more than doubled year on year, which is the right response, but Dell'Oro's ZR/ZR+ module share leaders are Cisco's Acacia and Marvell — Ciena is not named. The risk is not that Ciena loses the pluggable market; it is that the pluggable market wins, and the revenue attached to each unit of traffic falls faster than volume rises. This compounds with the first risk, because hyperscalers are precisely the buyers most willing to disaggregate.</w:t>
      </w:r>
    </w:p>
    <w:p>
      <w:pPr>
        <w:pStyle w:val="ListParagraph"/>
        <w:numPr>
          <w:ilvl w:val="0"/>
          <w:numId w:val="2"/>
        </w:numPr>
        <w:spacing w:after="100" w:line="276"/>
      </w:pPr>
      <w:r>
        <w:rPr>
          <w:rFonts w:ascii="Arial" w:cs="Arial" w:eastAsia="Arial" w:hAnsi="Arial"/>
          <w:b/>
          <w:bCs/>
          <w:sz w:val="22"/>
          <w:szCs w:val="22"/>
        </w:rPr>
        <w:t xml:space="preserve">The technology lead is narrower than the marketing, and Western-only. </w:t>
      </w:r>
      <w:r>
        <w:rPr>
          <w:rFonts w:ascii="Arial" w:cs="Arial" w:eastAsia="Arial" w:hAnsi="Arial"/>
          <w:sz w:val="22"/>
          <w:szCs w:val="22"/>
        </w:rPr>
        <w:t xml:space="preserve">WaveLogic 6 Extreme at 1.6T is ahead of Nokia's ICE7 and Cisco's CIM8 at 1.2T, but Huawei is shipping 2.0T wavelengths with a European tier-1 deployment in progress, and six vendors shipped 1.2T-plus embedded modules in 2025. Merchant silicon is closing: Cignal AI reports pluggable coherent performance is now comparable to embedded at 400G, and Marvell's 1.6T merchant part samples in the second half of 2026. Each generation Ciena leads by less time buys less pricing advantage, against a fixed development cost that does not fall.</w:t>
      </w:r>
    </w:p>
    <w:p>
      <w:pPr>
        <w:pStyle w:val="ListParagraph"/>
        <w:numPr>
          <w:ilvl w:val="0"/>
          <w:numId w:val="2"/>
        </w:numPr>
        <w:spacing w:after="100" w:line="276"/>
      </w:pPr>
      <w:r>
        <w:rPr>
          <w:rFonts w:ascii="Arial" w:cs="Arial" w:eastAsia="Arial" w:hAnsi="Arial"/>
          <w:b/>
          <w:bCs/>
          <w:sz w:val="22"/>
          <w:szCs w:val="22"/>
        </w:rPr>
        <w:t xml:space="preserve">The convertible is cheap money with a tail. </w:t>
      </w:r>
      <w:r>
        <w:rPr>
          <w:rFonts w:ascii="Arial" w:cs="Arial" w:eastAsia="Arial" w:hAnsi="Arial"/>
          <w:sz w:val="22"/>
          <w:szCs w:val="22"/>
        </w:rPr>
        <w:t xml:space="preserve">$2.88bn at a 0.00% coupon due 2031 is close to free funding, and the note hedge pushes the effective dilution point higher. But it is $2.88bn of principal that must be refinanced or settled in 2031 by a company whose revenue is set by two customers' capital budgets, and the instrument was sized to fund a supply expansion that assumes the current demand holds.</w:t>
      </w:r>
    </w:p>
    <w:p>
      <w:pPr>
        <w:pStyle w:val="ListParagraph"/>
        <w:numPr>
          <w:ilvl w:val="0"/>
          <w:numId w:val="2"/>
        </w:numPr>
        <w:spacing w:after="100" w:line="276"/>
      </w:pPr>
      <w:r>
        <w:rPr>
          <w:rFonts w:ascii="Arial" w:cs="Arial" w:eastAsia="Arial" w:hAnsi="Arial"/>
          <w:b/>
          <w:bCs/>
          <w:sz w:val="22"/>
          <w:szCs w:val="22"/>
        </w:rPr>
        <w:t xml:space="preserve">The deferred tax asset is 36% of book equity. </w:t>
      </w:r>
      <w:r>
        <w:rPr>
          <w:rFonts w:ascii="Arial" w:cs="Arial" w:eastAsia="Arial" w:hAnsi="Arial"/>
          <w:sz w:val="22"/>
          <w:szCs w:val="22"/>
        </w:rPr>
        <w:t xml:space="preserve">It stood at $1,092.7m on 1 August 2026 against $3,056.7m of equity, and its carrying value depends on projected future taxable income. Ciena has been here before: it released a $1.1bn valuation allowance in FY2017 and reversed $472.8m of the benefit a year later under the Tax Cuts and Jobs Act. A period of losses or a statutory rate change forces a non-cash charge that would exceed several years of GAAP net income.</w:t>
      </w:r>
    </w:p>
    <w:p>
      <w:pPr>
        <w:pStyle w:val="ListParagraph"/>
        <w:numPr>
          <w:ilvl w:val="0"/>
          <w:numId w:val="2"/>
        </w:numPr>
        <w:spacing w:after="100" w:line="276"/>
      </w:pPr>
      <w:r>
        <w:rPr>
          <w:rFonts w:ascii="Arial" w:cs="Arial" w:eastAsia="Arial" w:hAnsi="Arial"/>
          <w:b/>
          <w:bCs/>
          <w:sz w:val="22"/>
          <w:szCs w:val="22"/>
        </w:rPr>
        <w:t xml:space="preserve">Disclosure has narrowed as concentration has risen. </w:t>
      </w:r>
      <w:r>
        <w:rPr>
          <w:rFonts w:ascii="Arial" w:cs="Arial" w:eastAsia="Arial" w:hAnsi="Arial"/>
          <w:sz w:val="22"/>
          <w:szCs w:val="22"/>
        </w:rPr>
        <w:t xml:space="preserve">Ciena disclosed top-ten customer concentration every year from FY2014 to FY2024 — the last figure was 57.9%, an all-decade high — and replaced it with top-five in FY2025. It named WaveLogic generations and capacities from FY2017 to FY2024 and dropped both from the FY2025 10-K. It discontinued the "non-telco percentage of revenue" metric after the first quarter of FY2026, so service-provider revenue for the two most recent quarters cannot be determined. Each change is defensible alone; together they remove exactly the disclosures that would let an outsider judge how much of the story rests on two buyers.</w:t>
      </w:r>
    </w:p>
    <w:p>
      <w:pPr>
        <w:pStyle w:val="ListParagraph"/>
        <w:numPr>
          <w:ilvl w:val="0"/>
          <w:numId w:val="2"/>
        </w:numPr>
        <w:spacing w:after="100" w:line="276"/>
      </w:pPr>
      <w:r>
        <w:rPr>
          <w:rFonts w:ascii="Arial" w:cs="Arial" w:eastAsia="Arial" w:hAnsi="Arial"/>
          <w:b/>
          <w:bCs/>
          <w:sz w:val="22"/>
          <w:szCs w:val="22"/>
        </w:rPr>
        <w:t xml:space="preserve">The adjacency record is poor. </w:t>
      </w:r>
      <w:r>
        <w:rPr>
          <w:rFonts w:ascii="Arial" w:cs="Arial" w:eastAsia="Arial" w:hAnsi="Arial"/>
          <w:sz w:val="22"/>
          <w:szCs w:val="22"/>
        </w:rPr>
        <w:t xml:space="preserve">Ciena wrote off $89.1m of in-process R&amp;D in the fourth quarter of FY2025 on abandoning 25G PON, technology acquired with Tibit as part of roughly $291.7m of consideration. Blue Planet, ten years old, is 2.4% of revenue, was loss-making from FY2018 to FY2024, and fell 16.5% year on year in the most recent quarter — with segment R&amp;D in FY2025 lower than in FY2023, meaning part of its first profitable year came from spending less. WaveRouter, named six times in the FY2024 10-K, appears nowhere in the FY2025 one, with no explanation. Nubis, the newest adjacency, targets a market growing several times faster than Ciena's own, which is the reason to try — and the reason to watch what it costs.</w:t>
      </w:r>
    </w:p>
    <w:p>
      <w:pPr>
        <w:pStyle w:val="Heading2"/>
        <w:spacing w:after="180" w:before="180"/>
      </w:pPr>
      <w:r>
        <w:rPr>
          <w:rFonts w:ascii="Arial" w:cs="Arial" w:eastAsia="Arial" w:hAnsi="Arial"/>
          <w:b/>
          <w:bCs/>
          <w:color w:val="1F3864"/>
          <w:sz w:val="28"/>
          <w:szCs w:val="28"/>
        </w:rPr>
        <w:t xml:space="preserve">What the sources could not answer</w:t>
      </w:r>
    </w:p>
    <w:p>
      <w:pPr>
        <w:spacing w:after="140" w:line="276"/>
      </w:pPr>
      <w:r>
        <w:rPr>
          <w:rFonts w:ascii="Arial" w:cs="Arial" w:eastAsia="Arial" w:hAnsi="Arial"/>
          <w:sz w:val="22"/>
          <w:szCs w:val="22"/>
        </w:rPr>
        <w:t xml:space="preserve">These are gaps in the evidence, not judgements. Each would change how confidently the analysis above could be stated.</w:t>
      </w:r>
    </w:p>
    <w:p>
      <w:pPr>
        <w:pStyle w:val="ListParagraph"/>
        <w:numPr>
          <w:ilvl w:val="0"/>
          <w:numId w:val="2"/>
        </w:numPr>
        <w:spacing w:after="100" w:line="276"/>
      </w:pPr>
      <w:r>
        <w:rPr>
          <w:rFonts w:ascii="Arial" w:cs="Arial" w:eastAsia="Arial" w:hAnsi="Arial"/>
          <w:sz w:val="22"/>
          <w:szCs w:val="22"/>
        </w:rPr>
        <w:t xml:space="preserve">Ciena discloses no unit metric of any kind, in any of ten 10-Ks — no wavelengths, ports, modems or shipment counts. Every per-unit statement in this document is therefore inferred from revenue and margin, not measured.</w:t>
      </w:r>
    </w:p>
    <w:p>
      <w:pPr>
        <w:pStyle w:val="ListParagraph"/>
        <w:numPr>
          <w:ilvl w:val="0"/>
          <w:numId w:val="2"/>
        </w:numPr>
        <w:spacing w:after="100" w:line="276"/>
      </w:pPr>
      <w:r>
        <w:rPr>
          <w:rFonts w:ascii="Arial" w:cs="Arial" w:eastAsia="Arial" w:hAnsi="Arial"/>
          <w:sz w:val="22"/>
          <w:szCs w:val="22"/>
        </w:rPr>
        <w:t xml:space="preserve">Aggregate cloud-provider revenue has never been disclosed in a filing; only a single unnamed customer's dollars are given. The 53% figure comes from a presentation, and its definition changed in Q2 FY2026 from "direct cloud provider" to "cloud provider" without explanation of what moved.</w:t>
      </w:r>
    </w:p>
    <w:p>
      <w:pPr>
        <w:pStyle w:val="ListParagraph"/>
        <w:numPr>
          <w:ilvl w:val="0"/>
          <w:numId w:val="2"/>
        </w:numPr>
        <w:spacing w:after="100" w:line="276"/>
      </w:pPr>
      <w:r>
        <w:rPr>
          <w:rFonts w:ascii="Arial" w:cs="Arial" w:eastAsia="Arial" w:hAnsi="Arial"/>
          <w:sz w:val="22"/>
          <w:szCs w:val="22"/>
        </w:rPr>
        <w:t xml:space="preserve">No backlog figure has been given since the $5.0bn at 1 November 2025, and Ciena has never split backlog between contracted and forecast, or disclosed cancellation terms. Remaining performance obligations — the non-cancellable subset — were only $2.1bn against that $5.0bn.</w:t>
      </w:r>
    </w:p>
    <w:p>
      <w:pPr>
        <w:pStyle w:val="ListParagraph"/>
        <w:numPr>
          <w:ilvl w:val="0"/>
          <w:numId w:val="2"/>
        </w:numPr>
        <w:spacing w:after="100" w:line="276"/>
      </w:pPr>
      <w:r>
        <w:rPr>
          <w:rFonts w:ascii="Arial" w:cs="Arial" w:eastAsia="Arial" w:hAnsi="Arial"/>
          <w:sz w:val="22"/>
          <w:szCs w:val="22"/>
        </w:rPr>
        <w:t xml:space="preserve">WaveLogic 6 Extreme revenue and standalone pluggable revenue have never been disclosed in any period, so the two most important mix questions cannot be answered from the filings.</w:t>
      </w:r>
    </w:p>
    <w:p>
      <w:pPr>
        <w:pStyle w:val="ListParagraph"/>
        <w:numPr>
          <w:ilvl w:val="0"/>
          <w:numId w:val="2"/>
        </w:numPr>
        <w:spacing w:after="100" w:line="276"/>
      </w:pPr>
      <w:r>
        <w:rPr>
          <w:rFonts w:ascii="Arial" w:cs="Arial" w:eastAsia="Arial" w:hAnsi="Arial"/>
          <w:sz w:val="22"/>
          <w:szCs w:val="22"/>
        </w:rPr>
        <w:t xml:space="preserve">The tariff refund that helped the most recent quarter's gross margin is named but not quantified, so the underlying margin cannot be isolated.</w:t>
      </w:r>
    </w:p>
    <w:p>
      <w:pPr>
        <w:pStyle w:val="ListParagraph"/>
        <w:numPr>
          <w:ilvl w:val="0"/>
          <w:numId w:val="2"/>
        </w:numPr>
        <w:spacing w:after="100" w:line="276"/>
      </w:pPr>
      <w:r>
        <w:rPr>
          <w:rFonts w:ascii="Arial" w:cs="Arial" w:eastAsia="Arial" w:hAnsi="Arial"/>
          <w:sz w:val="22"/>
          <w:szCs w:val="22"/>
        </w:rPr>
        <w:t xml:space="preserve">Contract manufacturers are never named, in any year — only the countries. A supplier concentration this material to a company with no factories of its own is invisible.</w:t>
      </w:r>
    </w:p>
    <w:p>
      <w:pPr>
        <w:pStyle w:val="ListParagraph"/>
        <w:numPr>
          <w:ilvl w:val="0"/>
          <w:numId w:val="2"/>
        </w:numPr>
        <w:spacing w:after="100" w:line="276"/>
      </w:pPr>
      <w:r>
        <w:rPr>
          <w:rFonts w:ascii="Arial" w:cs="Arial" w:eastAsia="Arial" w:hAnsi="Arial"/>
          <w:sz w:val="22"/>
          <w:szCs w:val="22"/>
        </w:rPr>
        <w:t xml:space="preserve">The research folder contains no earnings-call transcripts and no investor-day materials, so no Q&amp;A-level management commentary was available for any period, including the hedged answers that usually matter most.</w:t>
      </w:r>
    </w:p>
    <w:p>
      <w:pPr>
        <w:pStyle w:val="ListParagraph"/>
        <w:numPr>
          <w:ilvl w:val="0"/>
          <w:numId w:val="2"/>
        </w:numPr>
        <w:spacing w:after="100" w:line="276"/>
      </w:pPr>
      <w:r>
        <w:rPr>
          <w:rFonts w:ascii="Arial" w:cs="Arial" w:eastAsia="Arial" w:hAnsi="Arial"/>
          <w:sz w:val="22"/>
          <w:szCs w:val="22"/>
        </w:rPr>
        <w:t xml:space="preserve">Externally: no source publishes Ciena's percentage share of North American optical transport, or its share level before 2024; no hyperscaler discloses networking capital expenditure separately; and no published figure exists for what a coherent DSP generation costs to develop or how long a carrier qualification cycle takes.</w:t>
      </w:r>
    </w:p>
    <w:p>
      <w:r>
        <w:br w:type="page"/>
      </w:r>
    </w:p>
    <w:p>
      <w:pPr>
        <w:pStyle w:val="Heading1"/>
        <w:spacing w:after="200" w:before="360"/>
      </w:pPr>
      <w:r>
        <w:rPr>
          <w:rFonts w:ascii="Arial" w:cs="Arial" w:eastAsia="Arial" w:hAnsi="Arial"/>
          <w:b/>
          <w:bCs/>
          <w:color w:val="1F3864"/>
          <w:sz w:val="32"/>
          <w:szCs w:val="32"/>
        </w:rPr>
        <w:t xml:space="preserve">8. Investor Takeaways</w:t>
      </w:r>
    </w:p>
    <w:p>
      <w:pPr>
        <w:pStyle w:val="ListParagraph"/>
        <w:numPr>
          <w:ilvl w:val="0"/>
          <w:numId w:val="2"/>
        </w:numPr>
        <w:spacing w:after="100" w:line="276"/>
      </w:pPr>
      <w:r>
        <w:rPr>
          <w:rFonts w:ascii="Arial" w:cs="Arial" w:eastAsia="Arial" w:hAnsi="Arial"/>
          <w:b/>
          <w:bCs/>
          <w:sz w:val="22"/>
          <w:szCs w:val="22"/>
        </w:rPr>
        <w:t xml:space="preserve">What this business really is. </w:t>
      </w:r>
      <w:r>
        <w:rPr>
          <w:rFonts w:ascii="Arial" w:cs="Arial" w:eastAsia="Arial" w:hAnsi="Arial"/>
          <w:sz w:val="22"/>
          <w:szCs w:val="22"/>
        </w:rPr>
        <w:t xml:space="preserve">A subscale-margin hardware company sitting in the least profitable layer of the optical value chain, which has bought itself a defensible position by owning coherent modem silicon that only five other firms in the world can build.</w:t>
      </w:r>
    </w:p>
    <w:p>
      <w:pPr>
        <w:pStyle w:val="ListParagraph"/>
        <w:numPr>
          <w:ilvl w:val="0"/>
          <w:numId w:val="2"/>
        </w:numPr>
        <w:spacing w:after="100" w:line="276"/>
      </w:pPr>
      <w:r>
        <w:rPr>
          <w:rFonts w:ascii="Arial" w:cs="Arial" w:eastAsia="Arial" w:hAnsi="Arial"/>
          <w:b/>
          <w:bCs/>
          <w:sz w:val="22"/>
          <w:szCs w:val="22"/>
        </w:rPr>
        <w:t xml:space="preserve">The economic engine. </w:t>
      </w:r>
      <w:r>
        <w:rPr>
          <w:rFonts w:ascii="Arial" w:cs="Arial" w:eastAsia="Arial" w:hAnsi="Arial"/>
          <w:sz w:val="22"/>
          <w:szCs w:val="22"/>
        </w:rPr>
        <w:t xml:space="preserve">A gross margin that has oscillated between 42% and 48% for a decade with no trend, applied to a revenue base that has just grown 37% against a fixed R&amp;D line of roughly $850m. The earnings are operating leverage, not pricing power, and the industry has never had pricing power.</w:t>
      </w:r>
    </w:p>
    <w:p>
      <w:pPr>
        <w:pStyle w:val="ListParagraph"/>
        <w:numPr>
          <w:ilvl w:val="0"/>
          <w:numId w:val="2"/>
        </w:numPr>
        <w:spacing w:after="100" w:line="276"/>
      </w:pPr>
      <w:r>
        <w:rPr>
          <w:rFonts w:ascii="Arial" w:cs="Arial" w:eastAsia="Arial" w:hAnsi="Arial"/>
          <w:b/>
          <w:bCs/>
          <w:sz w:val="22"/>
          <w:szCs w:val="22"/>
        </w:rPr>
        <w:t xml:space="preserve">The main growth lever. </w:t>
      </w:r>
      <w:r>
        <w:rPr>
          <w:rFonts w:ascii="Arial" w:cs="Arial" w:eastAsia="Arial" w:hAnsi="Arial"/>
          <w:sz w:val="22"/>
          <w:szCs w:val="22"/>
        </w:rPr>
        <w:t xml:space="preserve">Cloud providers connecting AI training clusters across separate data centres. That is 53% of revenue, growing 82%, and 42% of last year's entire revenue growth came from one customer.</w:t>
      </w:r>
    </w:p>
    <w:p>
      <w:pPr>
        <w:pStyle w:val="ListParagraph"/>
        <w:numPr>
          <w:ilvl w:val="0"/>
          <w:numId w:val="2"/>
        </w:numPr>
        <w:spacing w:after="100" w:line="276"/>
      </w:pPr>
      <w:r>
        <w:rPr>
          <w:rFonts w:ascii="Arial" w:cs="Arial" w:eastAsia="Arial" w:hAnsi="Arial"/>
          <w:b/>
          <w:bCs/>
          <w:sz w:val="22"/>
          <w:szCs w:val="22"/>
        </w:rPr>
        <w:t xml:space="preserve">What could break it. </w:t>
      </w:r>
      <w:r>
        <w:rPr>
          <w:rFonts w:ascii="Arial" w:cs="Arial" w:eastAsia="Arial" w:hAnsi="Arial"/>
          <w:sz w:val="22"/>
          <w:szCs w:val="22"/>
        </w:rPr>
        <w:t xml:space="preserve">The same customers. Two are 41.7% of revenue with no minimum purchase commitments, against $3.3bn of purchase commitments Ciena has made to its own suppliers — and behind that, bandwidth migrating to pluggable modules that generate a fifth of the revenue per unit of traffic.</w:t>
      </w:r>
    </w:p>
    <w:p>
      <w:pPr>
        <w:pStyle w:val="ListParagraph"/>
        <w:numPr>
          <w:ilvl w:val="0"/>
          <w:numId w:val="2"/>
        </w:numPr>
        <w:spacing w:after="100" w:line="276"/>
      </w:pPr>
      <w:r>
        <w:rPr>
          <w:rFonts w:ascii="Arial" w:cs="Arial" w:eastAsia="Arial" w:hAnsi="Arial"/>
          <w:b/>
          <w:bCs/>
          <w:sz w:val="22"/>
          <w:szCs w:val="22"/>
        </w:rPr>
        <w:t xml:space="preserve">What to monitor. </w:t>
      </w:r>
      <w:r>
        <w:rPr>
          <w:rFonts w:ascii="Arial" w:cs="Arial" w:eastAsia="Arial" w:hAnsi="Arial"/>
          <w:sz w:val="22"/>
          <w:szCs w:val="22"/>
        </w:rPr>
        <w:t xml:space="preserve">The excess-and-obsolete inventory provision against the backlog figure — the two disclosures that would diverge first if the demand forecast is wrong — and pluggables' share of WDM bandwidth in Cignal AI's quarterly data.</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8"/>
        <w:szCs w:val="18"/>
      </w:rPr>
      <w:t xml:space="preserve"/>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line="276"/>
    </w:pPr>
    <w:rPr>
      <w:rFonts w:ascii="Arial" w:cs="Arial" w:eastAsia="Arial" w:hAnsi="Arial"/>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Overview: Ciena Corporation</dc:title>
  <dc:creator>Business Overview</dc:creator>
  <cp:lastModifiedBy>Un-named</cp:lastModifiedBy>
  <cp:revision>1</cp:revision>
  <dcterms:created xsi:type="dcterms:W3CDTF">2026-09-07T04:30:38.719Z</dcterms:created>
  <dcterms:modified xsi:type="dcterms:W3CDTF">2026-09-07T04:30:38.719Z</dcterms:modified>
</cp:coreProperties>
</file>

<file path=docProps/custom.xml><?xml version="1.0" encoding="utf-8"?>
<Properties xmlns="http://schemas.openxmlformats.org/officeDocument/2006/custom-properties" xmlns:vt="http://schemas.openxmlformats.org/officeDocument/2006/docPropsVTypes"/>
</file>