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r>
        <w:rPr>
          <w:rFonts w:ascii="Arial" w:cs="Arial" w:eastAsia="Arial" w:hAnsi="Arial"/>
          <w:sz w:val="22"/>
          <w:szCs w:val="22"/>
        </w:rPr>
        <w:t xml:space="preserve"/>
      </w:r>
    </w:p>
    <w:p>
      <w:pPr>
        <w:spacing w:after="200"/>
        <w:jc w:val="center"/>
      </w:pPr>
      <w:r>
        <w:rPr>
          <w:rFonts w:ascii="Arial" w:cs="Arial" w:eastAsia="Arial" w:hAnsi="Arial"/>
          <w:b/>
          <w:bCs/>
          <w:color w:val="1F3864"/>
          <w:sz w:val="52"/>
          <w:szCs w:val="52"/>
        </w:rPr>
        <w:t xml:space="preserve">Business Overview</w:t>
      </w:r>
    </w:p>
    <w:p>
      <w:pPr>
        <w:spacing w:after="120"/>
        <w:jc w:val="center"/>
      </w:pPr>
      <w:r>
        <w:rPr>
          <w:rFonts w:ascii="Arial" w:cs="Arial" w:eastAsia="Arial" w:hAnsi="Arial"/>
          <w:b/>
          <w:bCs/>
          <w:color w:val="1F3864"/>
          <w:sz w:val="44"/>
          <w:szCs w:val="44"/>
        </w:rPr>
        <w:t xml:space="preserve">Marvell Technology, Inc.</w:t>
      </w:r>
    </w:p>
    <w:p>
      <w:pPr>
        <w:spacing w:after="700"/>
        <w:jc w:val="center"/>
      </w:pPr>
      <w:r>
        <w:rPr>
          <w:rFonts w:ascii="Arial" w:cs="Arial" w:eastAsia="Arial" w:hAnsi="Arial"/>
          <w:color w:val="595959"/>
          <w:sz w:val="26"/>
          <w:szCs w:val="26"/>
        </w:rPr>
        <w:t xml:space="preserve">NASDAQ: MRVL</w:t>
      </w:r>
    </w:p>
    <w:p>
      <w:pPr>
        <w:spacing w:after="300"/>
        <w:jc w:val="center"/>
      </w:pPr>
      <w:r>
        <w:rPr>
          <w:rFonts w:ascii="Arial" w:cs="Arial" w:eastAsia="Arial" w:hAnsi="Arial"/>
          <w:sz w:val="24"/>
          <w:szCs w:val="24"/>
        </w:rPr>
        <w:t xml:space="preserve">7 September 2026</w:t>
      </w:r>
    </w:p>
    <w:p>
      <w:pPr>
        <w:spacing w:after="120"/>
        <w:jc w:val="center"/>
      </w:pPr>
      <w:r>
        <w:rPr>
          <w:rFonts w:ascii="Arial" w:cs="Arial" w:eastAsia="Arial" w:hAnsi="Arial"/>
          <w:i/>
          <w:iCs/>
          <w:color w:val="595959"/>
          <w:sz w:val="20"/>
          <w:szCs w:val="20"/>
        </w:rPr>
        <w:t xml:space="preserve">Evidence base: Marvell SEC filings through the Q2 FY2027 10-Q (quarter ended 1 August 2026, filed 28 August 2026),</w:t>
      </w:r>
    </w:p>
    <w:p>
      <w:pPr>
        <w:spacing w:after="120"/>
        <w:jc w:val="center"/>
      </w:pPr>
      <w:r>
        <w:rPr>
          <w:rFonts w:ascii="Arial" w:cs="Arial" w:eastAsia="Arial" w:hAnsi="Arial"/>
          <w:i/>
          <w:iCs/>
          <w:color w:val="595959"/>
          <w:sz w:val="20"/>
          <w:szCs w:val="20"/>
        </w:rPr>
        <w:t xml:space="preserve">the FY2026 10-K and 10-Ks back to FY2022, the 19 August 2026 8-K, and the 27 August 2026 earnings release;</w:t>
      </w:r>
    </w:p>
    <w:p>
      <w:pPr>
        <w:spacing w:after="400"/>
        <w:jc w:val="center"/>
      </w:pPr>
      <w:r>
        <w:rPr>
          <w:rFonts w:ascii="Arial" w:cs="Arial" w:eastAsia="Arial" w:hAnsi="Arial"/>
          <w:i/>
          <w:iCs/>
          <w:color w:val="595959"/>
          <w:sz w:val="20"/>
          <w:szCs w:val="20"/>
        </w:rPr>
        <w:t xml:space="preserve">industry structure from competitors' and customers' own filings and releases, TSMC investor materials and SIA/WSTS data.</w:t>
      </w:r>
    </w:p>
    <w:p>
      <w:pPr>
        <w:jc w:val="center"/>
      </w:pPr>
      <w:r>
        <w:rPr>
          <w:rFonts w:ascii="Arial" w:cs="Arial" w:eastAsia="Arial" w:hAnsi="Arial"/>
          <w:b/>
          <w:bCs/>
          <w:color w:val="595959"/>
          <w:sz w:val="20"/>
          <w:szCs w:val="20"/>
        </w:rPr>
        <w:t xml:space="preserve">This is not a valuation and not a recommendation.</w:t>
      </w:r>
    </w:p>
    <w:p>
      <w:pPr>
        <w:pStyle w:val="Heading1"/>
        <w:pageBreakBefore/>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the business is</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A fabless designer of data-infrastructure semiconductors. It sells chips it designs but does not manufacture, and since fiscal 2025 the great majority of them go into AI data centres.</w:t>
            </w:r>
          </w:p>
        </w:tc>
      </w:tr>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Industry</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Merchant data-centre silicon: custom AI accelerators (XPUs/ASICs), optical DSPs and interconnect, Ethernet and PCIe/CXL switching, storage controllers.</w:t>
            </w:r>
          </w:p>
        </w:tc>
      </w:tr>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How it makes money</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It wins a design slot in a customer's platform, funds the design partly through customer-paid NRE milestones, then earns product revenue on every chip shipped for the life of that platform.</w:t>
            </w:r>
          </w:p>
        </w:tc>
      </w:tr>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The unit, and what it earns</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One design-win socket. Marvell discloses no unit volumes or ASPs. At the company level, Q2 FY2027 gross margin was 53.1% GAAP and 58.9% non-GAAP; operating margin 16.8% GAAP and 36.6% non-GAAP.</w:t>
            </w:r>
          </w:p>
        </w:tc>
      </w:tr>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protects it</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A SerDes, silicon-photonics and advanced-packaging IP library proven at 5nm and 3nm; allocated leading-edge foundry and packaging capacity; and multi-year incumbency inside a customer roadmap. None of these is permanent.</w:t>
            </w:r>
          </w:p>
        </w:tc>
      </w:tr>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drives earnings</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Hyperscaler AI capital spending; the ramp of named custom programmes (Google, AWS); the mix between higher-margin interconnect content and lower-margin custom compute.</w:t>
            </w:r>
          </w:p>
        </w:tc>
      </w:tr>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to watch</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Distributor A concentration (45% of 1H FY2027 revenue); the $8.5bn of foundry purchase commitments against cancellable customer orders; whether custom mix dilutes gross margin as it scales.</w:t>
            </w:r>
          </w:p>
        </w:tc>
      </w:tr>
      <w:tr>
        <w:tc>
          <w:tcPr>
            <w:tcW w:type="dxa" w:w="26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Cycle exposure</w:t>
            </w:r>
          </w:p>
        </w:tc>
        <w:tc>
          <w:tcPr>
            <w:tcW w:type="dxa" w:w="6760"/>
            <w:tcMar>
              <w:top w:type="dxa" w:w="80"/>
              <w:left w:type="dxa" w:w="120"/>
              <w:bottom w:type="dxa" w:w="80"/>
              <w:right w:type="dxa" w:w="120"/>
            </w:tcMar>
          </w:tcPr>
          <w:p>
            <w:pPr>
              <w:spacing w:after="0" w:line="240"/>
              <w:jc w:val="left"/>
            </w:pPr>
            <w:r>
              <w:rPr>
                <w:rFonts w:ascii="Arial" w:cs="Arial" w:eastAsia="Arial" w:hAnsi="Arial"/>
                <w:sz w:val="20"/>
                <w:szCs w:val="20"/>
              </w:rPr>
              <w:t xml:space="preserve">High. Revenue and gross margin are both at record levels, inside an industry running at record levels.</w:t>
            </w:r>
          </w:p>
        </w:tc>
      </w:tr>
    </w:tbl>
    <w:p>
      <w:pPr>
        <w:spacing w:after="200" w:before="60" w:line="240"/>
      </w:pPr>
      <w:r>
        <w:rPr>
          <w:rFonts w:ascii="Arial" w:cs="Arial" w:eastAsia="Arial" w:hAnsi="Arial"/>
          <w:i/>
          <w:iCs/>
          <w:color w:val="595959"/>
          <w:sz w:val="18"/>
          <w:szCs w:val="18"/>
        </w:rPr>
        <w:t xml:space="preserve">Figures: Q2 FY2027 10-Q and 27 August 2026 earnings release. Fiscal year ends the Saturday nearest 31 January; fiscal 2026 ended 31 January 2026.</w:t>
      </w:r>
    </w:p>
    <w:p>
      <w:pPr>
        <w:pStyle w:val="Heading1"/>
        <w:pageBreakBefore/>
        <w:spacing w:after="200" w:before="360"/>
      </w:pPr>
      <w:r>
        <w:rPr>
          <w:rFonts w:ascii="Arial" w:cs="Arial" w:eastAsia="Arial" w:hAnsi="Arial"/>
          <w:b/>
          <w:bCs/>
          <w:color w:val="1F3864"/>
          <w:sz w:val="32"/>
          <w:szCs w:val="32"/>
        </w:rPr>
        <w:t xml:space="preserve">2. What the Company Does</w:t>
      </w:r>
    </w:p>
    <w:p>
      <w:pPr>
        <w:spacing w:after="140" w:line="264"/>
      </w:pPr>
      <w:r>
        <w:rPr>
          <w:rFonts w:ascii="Arial" w:cs="Arial" w:eastAsia="Arial" w:hAnsi="Arial"/>
          <w:sz w:val="22"/>
          <w:szCs w:val="22"/>
        </w:rPr>
        <w:t xml:space="preserve">The customer problem is bandwidth and power. A modern AI data centre is limited less by how fast a single processor computes than by how quickly data moves between processors, between racks and between buildings, and by how much electricity that movement consumes. Marvell sells the silicon that does the moving, and increasingly the compute silicon at either end of it.</w:t>
      </w:r>
    </w:p>
    <w:p>
      <w:pPr>
        <w:spacing w:after="140" w:line="264"/>
      </w:pPr>
      <w:r>
        <w:rPr>
          <w:rFonts w:ascii="Arial" w:cs="Arial" w:eastAsia="Arial" w:hAnsi="Arial"/>
          <w:sz w:val="22"/>
          <w:szCs w:val="22"/>
        </w:rPr>
        <w:t xml:space="preserve">It is fabless. It designs chips and contracts their manufacture to third-party foundries and assembly-and-test partners, with wafers described as coming from foundries "located in Taiwan" and TSMC named specifically in the 10-Q risk list as the source of advanced-node wafers (FY2026 10-K Item 1A; Q2 FY2027 10-Q). It employed 7,480 people at 31 January 2026 and holds over 10,000 issued patents and pending applications, with no substantial dependence on any single one (FY2026 10-K Item 1).</w:t>
      </w:r>
    </w:p>
    <w:p>
      <w:pPr>
        <w:pStyle w:val="Heading2"/>
        <w:spacing w:after="180" w:before="180"/>
      </w:pPr>
      <w:r>
        <w:rPr>
          <w:rFonts w:ascii="Arial" w:cs="Arial" w:eastAsia="Arial" w:hAnsi="Arial"/>
          <w:b/>
          <w:bCs/>
          <w:color w:val="1F3864"/>
          <w:sz w:val="28"/>
          <w:szCs w:val="28"/>
        </w:rPr>
        <w:t xml:space="preserve">The unit: one design-win socket</w:t>
      </w:r>
    </w:p>
    <w:p>
      <w:pPr>
        <w:spacing w:after="140" w:line="264"/>
      </w:pPr>
      <w:r>
        <w:rPr>
          <w:rFonts w:ascii="Arial" w:cs="Arial" w:eastAsia="Arial" w:hAnsi="Arial"/>
          <w:sz w:val="22"/>
          <w:szCs w:val="22"/>
        </w:rPr>
        <w:t xml:space="preserve">The unit of this business is not a chip. It is a design-win socket — a slot inside one customer's platform, awarded through a competitive bid, that then yields shipped chips for as long as that platform sells. The filings are explicit about the timing: "it can take from six months to three years from the time our products are selected to commence commercial shipments," and "our failure to win a competitive bid can result in our foregoing revenues from a given customer's product line for the life of that product" (FY2026 10-K Item 1A).</w:t>
      </w:r>
    </w:p>
    <w:p>
      <w:pPr>
        <w:spacing w:after="140" w:line="264"/>
      </w:pPr>
      <w:r>
        <w:rPr>
          <w:rFonts w:ascii="Arial" w:cs="Arial" w:eastAsia="Arial" w:hAnsi="Arial"/>
          <w:sz w:val="22"/>
          <w:szCs w:val="22"/>
        </w:rPr>
        <w:t xml:space="preserve">Trace one socket. Marvell spends design engineering ahead of any revenue — R&amp;D was $2,075.2m in fiscal 2026 and is running at $741.1m per quarter by Q2 FY2027, up 42.8% year on year. Where the work is a custom ASIC, some of that cost is recovered through NRE payments the customer makes on completion of milestones. Marvell then places firm orders with its suppliers "up to 26 weeks prior to the anticipated delivery" and may commit "up to 52 weeks to secure capacity." Product revenue is recognised at a point in time on shipment; there is no subscription and "revenue from services has been insignificant." Cash then arrives on ordinary receivable terms, accelerated by non-recourse factoring — $735.5m of receivables sold in fiscal 2026 and $412.0m in the first half of FY2027, with proceeds presented inside operating cash flow (FY2026 10-K Notes 2, 8 and 15; Q2 FY2027 10-Q Note 14).</w:t>
      </w:r>
    </w:p>
    <w:p>
      <w:pPr>
        <w:spacing w:after="140" w:line="264"/>
      </w:pPr>
      <w:r>
        <w:rPr>
          <w:rFonts w:ascii="Arial" w:cs="Arial" w:eastAsia="Arial" w:hAnsi="Arial"/>
          <w:sz w:val="22"/>
          <w:szCs w:val="22"/>
        </w:rPr>
        <w:t xml:space="preserve">Two features of that trace matter more than the rest. First, the supply commitment is firm and the customer order is not: "a significant portion of our sales are made on a purchase order basis, which allows our customers to cancel, change or delay product purchase commitments with relatively short notice" (FY2026 10-K Item 1A). Second, a custom part has one buyer — "there may be no other customers for these products due to their custom or semi-custom nature" — so a cancelled programme has no salvage market.</w:t>
      </w:r>
    </w:p>
    <w:p>
      <w:pPr>
        <w:pStyle w:val="Heading2"/>
        <w:spacing w:after="180" w:before="180"/>
      </w:pPr>
      <w:r>
        <w:rPr>
          <w:rFonts w:ascii="Arial" w:cs="Arial" w:eastAsia="Arial" w:hAnsi="Arial"/>
          <w:b/>
          <w:bCs/>
          <w:color w:val="1F3864"/>
          <w:sz w:val="28"/>
          <w:szCs w:val="28"/>
        </w:rPr>
        <w:t xml:space="preserve">Two product archetypes, with different economics</w:t>
      </w:r>
    </w:p>
    <w:p>
      <w:pPr>
        <w:spacing w:after="140" w:line="264"/>
      </w:pPr>
      <w:r>
        <w:rPr>
          <w:rFonts w:ascii="Arial" w:cs="Arial" w:eastAsia="Arial" w:hAnsi="Arial"/>
          <w:sz w:val="22"/>
          <w:szCs w:val="22"/>
        </w:rPr>
        <w:t xml:space="preserve">Marvell sells standard products, where "the exact same product is sold to multiple customers," and optimised or custom solutions built to one customer's specification. The company states plainly which is the better business: "for certain products we use an ASIC model to offer end-to-end solutions for intellectual property, design team, fab and packaging to deliver a tested, yielded product to customers. This business model tends to have a lower gross margin" (FY2026 10-K Item 1A). The custom share is rising — "the percentage of our sales related to custom or semi-custom products has been increasing over the last few years" — which means the mix is shifting toward the lower-margin archetype at the same time as it drives the growth.</w:t>
      </w:r>
    </w:p>
    <w:p>
      <w:pPr>
        <w:spacing w:after="140" w:line="264"/>
      </w:pPr>
      <w:r>
        <w:rPr>
          <w:rFonts w:ascii="Arial" w:cs="Arial" w:eastAsia="Arial" w:hAnsi="Arial"/>
          <w:sz w:val="22"/>
          <w:szCs w:val="22"/>
        </w:rPr>
        <w:t xml:space="preserve">The product lines themselves span the data path. Custom ASICs are built on a platform combining ultra-high-speed SerDes, Arm compute, security, storage, silicon photonics and advanced packaging including co-packaged optics and custom HBM; Marvell states it has "successfully executed multiple 5 nanometer designs in the last few years," is "progressing through 3nm designs now" and is developing a 2nm platform. Interconnect covers PAM and coherent DSPs, laser drivers, TIAs, silicon photonics, PCIe retimers and AEC DSPs. Ethernet switching runs from Prestera to the Teralynx family at 51.2Tbps. Storage controllers (Bravera) are, on the company's own account, "being used by all the current HDD makers" — the only near-share claim anywhere in the filing (FY2026 10-K Item 1).</w:t>
      </w:r>
    </w:p>
    <w:p>
      <w:pPr>
        <w:pStyle w:val="Heading2"/>
        <w:spacing w:after="180" w:before="180"/>
      </w:pPr>
      <w:r>
        <w:rPr>
          <w:rFonts w:ascii="Arial" w:cs="Arial" w:eastAsia="Arial" w:hAnsi="Arial"/>
          <w:b/>
          <w:bCs/>
          <w:color w:val="1F3864"/>
          <w:sz w:val="28"/>
          <w:szCs w:val="28"/>
        </w:rPr>
        <w:t xml:space="preserve">Who pays, and how few of them there are</w:t>
      </w:r>
    </w:p>
    <w:p>
      <w:pPr>
        <w:spacing w:after="140" w:line="264"/>
      </w:pPr>
      <w:r>
        <w:rPr>
          <w:rFonts w:ascii="Arial" w:cs="Arial" w:eastAsia="Arial" w:hAnsi="Arial"/>
          <w:sz w:val="22"/>
          <w:szCs w:val="22"/>
        </w:rPr>
        <w:t xml:space="preserve">Buyers are OEMs, ODMs and distributors. The concentration is the single most important structural fact about the revenue base, and it has tightened sharply: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1590"/>
        <w:gridCol w:w="1590"/>
        <w:gridCol w:w="1590"/>
        <w:gridCol w:w="1590"/>
      </w:tblGrid>
      <w:tr>
        <w:tc>
          <w:tcPr>
            <w:tcW w:type="dxa" w:w="30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
            </w:r>
          </w:p>
        </w:tc>
        <w:tc>
          <w:tcPr>
            <w:tcW w:type="dxa" w:w="159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FY2024</w:t>
            </w:r>
          </w:p>
        </w:tc>
        <w:tc>
          <w:tcPr>
            <w:tcW w:type="dxa" w:w="159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FY2025</w:t>
            </w:r>
          </w:p>
        </w:tc>
        <w:tc>
          <w:tcPr>
            <w:tcW w:type="dxa" w:w="159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FY2026</w:t>
            </w:r>
          </w:p>
        </w:tc>
        <w:tc>
          <w:tcPr>
            <w:tcW w:type="dxa" w:w="159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1H FY2027</w:t>
            </w:r>
          </w:p>
        </w:tc>
      </w:tr>
      <w:tr>
        <w:tc>
          <w:tcPr>
            <w:tcW w:type="dxa" w:w="30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Customer A (direct)</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&lt;10%</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13%</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14%</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16%</w:t>
            </w:r>
          </w:p>
        </w:tc>
      </w:tr>
      <w:tr>
        <w:tc>
          <w:tcPr>
            <w:tcW w:type="dxa" w:w="30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Distributor A</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24%</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34%</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37%</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45%</w:t>
            </w:r>
          </w:p>
        </w:tc>
      </w:tr>
      <w:tr>
        <w:tc>
          <w:tcPr>
            <w:tcW w:type="dxa" w:w="30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Named ≥10% combined</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24%+</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47%</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51%</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61%</w:t>
            </w:r>
          </w:p>
        </w:tc>
      </w:tr>
      <w:tr>
        <w:tc>
          <w:tcPr>
            <w:tcW w:type="dxa" w:w="30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Top ten customers</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n/d</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n/d</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82%</w:t>
            </w:r>
          </w:p>
        </w:tc>
        <w:tc>
          <w:tcPr>
            <w:tcW w:type="dxa" w:w="159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n/d</w:t>
            </w:r>
          </w:p>
        </w:tc>
      </w:tr>
    </w:tbl>
    <w:p>
      <w:pPr>
        <w:spacing w:after="200" w:before="60" w:line="240"/>
      </w:pPr>
      <w:r>
        <w:rPr>
          <w:rFonts w:ascii="Arial" w:cs="Arial" w:eastAsia="Arial" w:hAnsi="Arial"/>
          <w:i/>
          <w:iCs/>
          <w:color w:val="595959"/>
          <w:sz w:val="18"/>
          <w:szCs w:val="18"/>
        </w:rPr>
        <w:t xml:space="preserve">Source: FY2026 10-K Item 1 and Note 2; Q1 and Q2 FY2027 10-Q MD&amp;A. Marvell does not name either party. Accounts receivable is comparably concentrated: three to five customers accounted for 72–75% of gross receivables at each of the last four balance-sheet dates.</w:t>
      </w:r>
    </w:p>
    <w:p>
      <w:pPr>
        <w:spacing w:after="140" w:line="264"/>
      </w:pPr>
      <w:r>
        <w:rPr>
          <w:rFonts w:ascii="Arial" w:cs="Arial" w:eastAsia="Arial" w:hAnsi="Arial"/>
          <w:sz w:val="22"/>
          <w:szCs w:val="22"/>
        </w:rPr>
        <w:t xml:space="preserve">Two unnamed relationships now account for roughly three-fifths of revenue, and the top ten for 82%. The move is almost entirely Distributor A, which nearly doubled its share in three years. Marvell describes the direction itself: "our major customers comprise an increasing percentage of our revenue."</w:t>
      </w:r>
    </w:p>
    <w:p>
      <w:pPr>
        <w:pStyle w:val="Heading2"/>
        <w:spacing w:after="180" w:before="180"/>
      </w:pPr>
      <w:r>
        <w:rPr>
          <w:rFonts w:ascii="Arial" w:cs="Arial" w:eastAsia="Arial" w:hAnsi="Arial"/>
          <w:b/>
          <w:bCs/>
          <w:color w:val="1F3864"/>
          <w:sz w:val="28"/>
          <w:szCs w:val="28"/>
        </w:rPr>
        <w:t xml:space="preserve">What it exited, and why the economics differed</w:t>
      </w:r>
    </w:p>
    <w:p>
      <w:pPr>
        <w:spacing w:after="140" w:line="264"/>
      </w:pPr>
      <w:r>
        <w:rPr>
          <w:rFonts w:ascii="Arial" w:cs="Arial" w:eastAsia="Arial" w:hAnsi="Arial"/>
          <w:sz w:val="22"/>
          <w:szCs w:val="22"/>
        </w:rPr>
        <w:t xml:space="preserve">The portfolio has been narrowed deliberately. In fiscal 2021 Marvell exited standard server processors, taking $119.0m of charges, to "focus only on customized server processors for a few targeted customers." The fiscal 2025 restructuring plan was explicitly a reallocation rather than a cost cut — "to increase research and development investment in the data center end market and reduce investment in new product development in other end markets including the cancellation of certain future product releases" — and cost $711.8m, of which $357.9m ran through cost of goods sold. In August 2025 it sold the automotive ethernet business to Infineon for $2.5bn cash, booking a $1,830.4m pre-tax gain (FY2026 10-K Notes 1 and 4). Infineon disclosed what Marvell did not: the acquired business was expected to generate roughly $225–250m of calendar-2025 revenue at around 60% gross margin (Infineon release, 14 August 2025).</w:t>
      </w:r>
    </w:p>
    <w:p>
      <w:pPr>
        <w:spacing w:after="140" w:line="264"/>
      </w:pPr>
      <w:r>
        <w:rPr>
          <w:rFonts w:ascii="Arial" w:cs="Arial" w:eastAsia="Arial" w:hAnsi="Arial"/>
          <w:sz w:val="22"/>
          <w:szCs w:val="22"/>
        </w:rPr>
        <w:t xml:space="preserve">That sale is the clearest statement of the strategy. Marvell disposed of a business earning a gross margin above its own corporate average, in order to concentrate capital on a data-centre business whose fastest-growing component earns less. It is buying growth and position at the cost of margin quality, and it has said so.</w:t>
      </w:r>
    </w:p>
    <w:p>
      <w:pPr>
        <w:pStyle w:val="Heading1"/>
        <w:pageBreakBefore/>
        <w:spacing w:after="200" w:before="360"/>
      </w:pPr>
      <w:r>
        <w:rPr>
          <w:rFonts w:ascii="Arial" w:cs="Arial" w:eastAsia="Arial" w:hAnsi="Arial"/>
          <w:b/>
          <w:bCs/>
          <w:color w:val="1F3864"/>
          <w:sz w:val="32"/>
          <w:szCs w:val="32"/>
        </w:rPr>
        <w:t xml:space="preserve">3. Industry, Competitive Position and Moat</w:t>
      </w:r>
    </w:p>
    <w:p>
      <w:pPr>
        <w:spacing w:after="140" w:line="264"/>
      </w:pPr>
      <w:r>
        <w:rPr>
          <w:rFonts w:ascii="Arial" w:cs="Arial" w:eastAsia="Arial" w:hAnsi="Arial"/>
          <w:sz w:val="22"/>
          <w:szCs w:val="22"/>
        </w:rPr>
        <w:t xml:space="preserve">The industry sells the physical capacity to train and run AI models. What is actually bought is a rack that computes a certain number of tokens per second inside a fixed power envelope, and every stage of the chain is priced by how much of that constraint it relieves.</w:t>
      </w:r>
    </w:p>
    <w:p>
      <w:pPr>
        <w:pStyle w:val="Heading2"/>
        <w:spacing w:after="180" w:before="180"/>
      </w:pPr>
      <w:r>
        <w:rPr>
          <w:rFonts w:ascii="Arial" w:cs="Arial" w:eastAsia="Arial" w:hAnsi="Arial"/>
          <w:b/>
          <w:bCs/>
          <w:color w:val="1F3864"/>
          <w:sz w:val="28"/>
          <w:szCs w:val="28"/>
        </w:rPr>
        <w:t xml:space="preserve">Where the profit pool sits</w:t>
      </w:r>
    </w:p>
    <w:p>
      <w:pPr>
        <w:spacing w:after="140" w:line="264"/>
      </w:pPr>
      <w:r>
        <w:rPr>
          <w:rFonts w:ascii="Arial" w:cs="Arial" w:eastAsia="Arial" w:hAnsi="Arial"/>
          <w:sz w:val="22"/>
          <w:szCs w:val="22"/>
        </w:rPr>
        <w:t xml:space="preserve">The profit distribution across the chain is unusually legible right now, because every stage reports publicly. Operating margins on the most recent reported quarter run: Micron 80.4% and SK hynix 76% in HBM memory; Broadcom 67.9% non-GAAP; Nvidia 66.2%; TSMC 60.3%; Astera Labs 39.1% non-GAAP; Alchip roughly 26.7%; AMD 17% GAAP; Supermicro 7.1% for its full fiscal year. The ordering is not about technical sophistication. It tracks one thing: whether the stage controls an input a customer cannot re-source inside a design cycle.</w:t>
      </w:r>
    </w:p>
    <w:p>
      <w:pPr>
        <w:spacing w:after="140" w:line="264"/>
      </w:pPr>
      <w:r>
        <w:rPr>
          <w:rFonts w:ascii="Arial" w:cs="Arial" w:eastAsia="Arial" w:hAnsi="Arial"/>
          <w:sz w:val="22"/>
          <w:szCs w:val="22"/>
        </w:rPr>
        <w:t xml:space="preserve">Two data points on that list deserve an investor's full attention. Supermicro converted $39.1bn of fiscal-2026 revenue into a 7.1% operating margin, because system integration is re-sourceable. And Alchip — the purest listed comparable for merchant custom-ASIC design work — reported a 34.8% gross margin and revenue down 18.7% year on year in the June 2026 quarter, in the middle of the largest semiconductor upcycle ever recorded (Alchip release, 26 August 2026). That is what custom silicon economics look like when the vendor supplies design labour without owning the differentiated IP or the customer seat. The spread between Alchip's 34.8% and Broadcom's 74.9% consolidated gross margin is the value of owning the IP, the packaging allocation and the prime-contractor relationship — and it is the spread Marvell is competing for.</w:t>
      </w:r>
    </w:p>
    <w:p>
      <w:pPr>
        <w:pStyle w:val="Heading2"/>
        <w:spacing w:after="180" w:before="180"/>
      </w:pPr>
      <w:r>
        <w:rPr>
          <w:rFonts w:ascii="Arial" w:cs="Arial" w:eastAsia="Arial" w:hAnsi="Arial"/>
          <w:b/>
          <w:bCs/>
          <w:color w:val="1F3864"/>
          <w:sz w:val="28"/>
          <w:szCs w:val="28"/>
        </w:rPr>
        <w:t xml:space="preserve">Structure: a market with roughly six buyers</w:t>
      </w:r>
    </w:p>
    <w:p>
      <w:pPr>
        <w:spacing w:after="140" w:line="264"/>
      </w:pPr>
      <w:r>
        <w:rPr>
          <w:rFonts w:ascii="Arial" w:cs="Arial" w:eastAsia="Arial" w:hAnsi="Arial"/>
          <w:sz w:val="22"/>
          <w:szCs w:val="22"/>
        </w:rPr>
        <w:t xml:space="preserve">Demand is concentrated to a degree that has few parallels. The five largest buyers reported roughly $187bn of capital expenditure in their most recent quarters alone: Amazon $54.2bn, Alphabet $44.9bn, Microsoft $35.8bn, Meta $31.1bn and Oracle $21.2bn, with Alphabet guiding to $195–205bn and Meta to $130–145bn for the full year. Contracted backlog corroborates the durability better than capex guidance does — Oracle reported $638bn of remaining performance obligations and Google Cloud $514bn. On the supply side, Broadcom states it has exactly six XPU customers.</w:t>
      </w:r>
    </w:p>
    <w:p>
      <w:pPr>
        <w:spacing w:after="140" w:line="264"/>
      </w:pPr>
      <w:r>
        <w:rPr>
          <w:rFonts w:ascii="Arial" w:cs="Arial" w:eastAsia="Arial" w:hAnsi="Arial"/>
          <w:sz w:val="22"/>
          <w:szCs w:val="22"/>
        </w:rPr>
        <w:t xml:space="preserve">Every one of those buyers designs its own accelerators and says so in its own materials: Google's TPU 8t and 8i, Amazon's Trainium3 on 3nm, Microsoft's Maia 200 with over 140 billion transistors, and Meta's MTIA 300 in production with the 400, 450 and 500 generations disclosed as following within two years. All of them state a deliberately multi-vendor posture. Google's own quarterly commentary offers "the industry's broadest range of accelerators from Google and NVIDIA." This is a market where the customer is also the competitor, and where every seat is retendered.</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64"/>
      </w:pPr>
      <w:r>
        <w:rPr>
          <w:rFonts w:ascii="Arial" w:cs="Arial" w:eastAsia="Arial" w:hAnsi="Arial"/>
          <w:sz w:val="22"/>
          <w:szCs w:val="22"/>
        </w:rPr>
        <w:t xml:space="preserve">Three barriers bind. The first is packaging and foundry allocation, and it binds hardest because allocation is granted, not bought. TSMC's chief executive said on the July 2026 earnings call that "our packaging capacity is so tight that now it's limiting my customers' growth," and that the supply-demand gap "is very big." TSMC raised 2026 capital expenditure to $60–64bn with 10–20% directed at packaging and test. A new entrant with a perfect design cannot buy past this within a product cycle.</w:t>
      </w:r>
    </w:p>
    <w:p>
      <w:pPr>
        <w:spacing w:after="140" w:line="264"/>
      </w:pPr>
      <w:r>
        <w:rPr>
          <w:rFonts w:ascii="Arial" w:cs="Arial" w:eastAsia="Arial" w:hAnsi="Arial"/>
          <w:sz w:val="22"/>
          <w:szCs w:val="22"/>
        </w:rPr>
        <w:t xml:space="preserve">The second is the customer seat itself, precisely because there are so few. The clearest illustration is Meta's April 2026 agreement with Broadcom, announced by Meta, covering chip design, packaging and networking across multiple MTIA generations with an initial commitment above one gigawatt, and with Broadcom's chief executive moving to a formal advisory role on Meta's silicon roadmap. That is what entrenchment looks like — and what displacement would have to overcome. The third is sustained R&amp;D against that tiny buyer set: Nvidia spent $18.5bn in fiscal 2026, Broadcom is running near $11.6bn annualised.</w:t>
      </w:r>
    </w:p>
    <w:p>
      <w:pPr>
        <w:spacing w:after="140" w:line="264"/>
      </w:pPr>
      <w:r>
        <w:rPr>
          <w:rFonts w:ascii="Arial" w:cs="Arial" w:eastAsia="Arial" w:hAnsi="Arial"/>
          <w:sz w:val="22"/>
          <w:szCs w:val="22"/>
        </w:rPr>
        <w:t xml:space="preserve">One barrier is weaker than it is usually presented. High-speed SerDes and interface IP is genuinely hard engineering and genuinely commands margin, but it is not a moat. Synopsys and Cadence sell interface IP and are named partners in Nvidia's NVLink Fusion programme. Credo grew fiscal-2026 revenue to $1.335bn, more than tripling, at a 68.2% gross margin, and Astera Labs grew 104% year on year at 73.3% — two businesses built from nothing inside five years in exactly this space. It is a lead worth a generation or two of pricing, not a permanent structural advantage.</w:t>
      </w:r>
    </w:p>
    <w:p>
      <w:pPr>
        <w:pStyle w:val="Heading2"/>
        <w:spacing w:after="180" w:before="180"/>
      </w:pPr>
      <w:r>
        <w:rPr>
          <w:rFonts w:ascii="Arial" w:cs="Arial" w:eastAsia="Arial" w:hAnsi="Arial"/>
          <w:b/>
          <w:bCs/>
          <w:color w:val="1F3864"/>
          <w:sz w:val="28"/>
          <w:szCs w:val="28"/>
        </w:rPr>
        <w:t xml:space="preserve">Marvell's specific position, and what would be hard to reproduce</w:t>
      </w:r>
    </w:p>
    <w:p>
      <w:pPr>
        <w:spacing w:after="140" w:line="264"/>
      </w:pPr>
      <w:r>
        <w:rPr>
          <w:rFonts w:ascii="Arial" w:cs="Arial" w:eastAsia="Arial" w:hAnsi="Arial"/>
          <w:sz w:val="22"/>
          <w:szCs w:val="22"/>
        </w:rPr>
        <w:t xml:space="preserve">Marvell's position rests on three assets. It has a proven advanced-node ASIC platform with 5nm designs shipped and 3nm in progress — process-node execution is a track record a competitor cannot assert, only accumulate. It has an unusually broad interconnect portfolio, from PAM and coherent DSPs through silicon photonics to PCIe retimers, which lets it attach high-margin connectivity content alongside lower-margin compute content in the same rack. And it now has named incumbency: on 29 July 2026 Marvell and Google LLC entered a commercial agreement for custom semiconductor products spanning AI inference accelerators, storage controllers, network interface controllers, memory interface controllers and near-memory compute inside Google's TPU ecosystem (Marvell 8-K, 19 August 2026). That is the only hyperscaler custom-silicon programme Marvell has named in a filing.</w:t>
      </w:r>
    </w:p>
    <w:p>
      <w:pPr>
        <w:spacing w:after="140" w:line="264"/>
      </w:pPr>
      <w:r>
        <w:rPr>
          <w:rFonts w:ascii="Arial" w:cs="Arial" w:eastAsia="Arial" w:hAnsi="Arial"/>
          <w:sz w:val="22"/>
          <w:szCs w:val="22"/>
        </w:rPr>
        <w:t xml:space="preserve">Marvell names 23 competitors in its own 10-K, including Broadcom, Alchip, Astera Labs, Credo, MediaTek, Socionext, Global Unichip, Semtech, AMD and Nvidia. The most instructive entry is Nvidia, which appeared on that list in the FY2026 10-K filed 11 March 2026 and then, on 31 March 2026, bought $2.0bn of Marvell Series A convertible preferred stock alongside an NVLink Fusion partnership under which "Marvell will provide custom XPUs and NVLink Fusion-compatible scale-up networking" (Nvidia release, 31 March 2026). Competitor and strategic investor are now the same party.</w:t>
      </w:r>
    </w:p>
    <w:p>
      <w:pPr>
        <w:pStyle w:val="Heading2"/>
        <w:spacing w:after="180" w:before="180"/>
      </w:pPr>
      <w:r>
        <w:rPr>
          <w:rFonts w:ascii="Arial" w:cs="Arial" w:eastAsia="Arial" w:hAnsi="Arial"/>
          <w:b/>
          <w:bCs/>
          <w:color w:val="1F3864"/>
          <w:sz w:val="28"/>
          <w:szCs w:val="28"/>
        </w:rPr>
        <w:t xml:space="preserve">What could weaken the position</w:t>
      </w:r>
    </w:p>
    <w:p>
      <w:pPr>
        <w:spacing w:after="140" w:line="264"/>
      </w:pPr>
      <w:r>
        <w:rPr>
          <w:rFonts w:ascii="Arial" w:cs="Arial" w:eastAsia="Arial" w:hAnsi="Arial"/>
          <w:sz w:val="22"/>
          <w:szCs w:val="22"/>
        </w:rPr>
        <w:t xml:space="preserve">The optical DSP franchise is under direct architectural attack, and this is the clearest structural threat in the evidence. Broadcom's Tomahawk 6 – Davisson, announced October 2025, integrates co-packaged optics on TSMC's COUPE process and claims a 70% reduction in optical interconnect power, more than 3.5 times better than pluggable modules. Nvidia's Spectrum-X and Quantum-X Photonics switches claim 3.5 times the power efficiency and four times fewer lasers. Cisco launched 800G linear pluggable optics in February 2026 claiming 50% lower module power than retimed modules — "retimed" being the module that contains the DSP. Both co-packaged optics and linear pluggable optics remove or bypass the standalone DSP, both are commercially available from the two largest networking-silicon vendors, and both are justified on power, which is the binding constraint in an AI data centre. The counterargument — that co-packaged optics is hard to service and that linear optics has link-budget limits at 200G per lane — is an argument about pace, not direction.</w:t>
      </w:r>
    </w:p>
    <w:p>
      <w:pPr>
        <w:spacing w:after="200" w:before="60" w:line="240"/>
      </w:pPr>
      <w:r>
        <w:rPr>
          <w:rFonts w:ascii="Arial" w:cs="Arial" w:eastAsia="Arial" w:hAnsi="Arial"/>
          <w:i/>
          <w:iCs/>
          <w:color w:val="595959"/>
          <w:sz w:val="18"/>
          <w:szCs w:val="18"/>
        </w:rPr>
        <w:t xml:space="preserve">No primary or free independent source publishes optical DSP or PAM4 market shares. Any share figure for Marvell in this market should be treated as unestablished.</w:t>
      </w:r>
    </w:p>
    <w:p>
      <w:pPr>
        <w:pStyle w:val="Heading2"/>
        <w:spacing w:after="180" w:before="180"/>
      </w:pPr>
      <w:r>
        <w:rPr>
          <w:rFonts w:ascii="Arial" w:cs="Arial" w:eastAsia="Arial" w:hAnsi="Arial"/>
          <w:b/>
          <w:bCs/>
          <w:color w:val="1F3864"/>
          <w:sz w:val="28"/>
          <w:szCs w:val="28"/>
        </w:rPr>
        <w:t xml:space="preserve">What kind of company wins here — and is Marvell that kind</w:t>
      </w:r>
    </w:p>
    <w:p>
      <w:pPr>
        <w:spacing w:after="140" w:line="264"/>
      </w:pPr>
      <w:r>
        <w:rPr>
          <w:rFonts w:ascii="Arial" w:cs="Arial" w:eastAsia="Arial" w:hAnsi="Arial"/>
          <w:sz w:val="22"/>
          <w:szCs w:val="22"/>
        </w:rPr>
        <w:t xml:space="preserve">On the margin evidence, the winners own an input a customer cannot re-source inside a design cycle, hold allocated foundry and packaging capacity, sit inside a multi-generation roadmap rather than a per-generation tender, and attach high-margin connectivity content to lower-margin compute. Marvell has three of the four. It owns real IP, it has secured allocation aggressively, and its interconnect attach is genuinely differentiated. Where it is weakest is the third: Marvell has one named hyperscaler custom relationship, a broad but unspecified AWS relationship, and a customer base in which two unnamed accounts are 61% of revenue. Broadcom, by contrast, has six named frontier customers and a customer-announced multi-generation roadmap at Meta. Marvell is the right kind of company on capability and the more fragile one on position.</w:t>
      </w:r>
    </w:p>
    <w:p>
      <w:pPr>
        <w:pStyle w:val="Heading1"/>
        <w:pageBreakBefore/>
        <w:spacing w:after="200" w:before="360"/>
      </w:pPr>
      <w:r>
        <w:rPr>
          <w:rFonts w:ascii="Arial" w:cs="Arial" w:eastAsia="Arial" w:hAnsi="Arial"/>
          <w:b/>
          <w:bCs/>
          <w:color w:val="1F3864"/>
          <w:sz w:val="32"/>
          <w:szCs w:val="32"/>
        </w:rPr>
        <w:t xml:space="preserve">4. Growth Engine</w:t>
      </w:r>
    </w:p>
    <w:p>
      <w:pPr>
        <w:spacing w:after="140" w:line="264"/>
      </w:pPr>
      <w:r>
        <w:rPr>
          <w:rFonts w:ascii="Arial" w:cs="Arial" w:eastAsia="Arial" w:hAnsi="Arial"/>
          <w:sz w:val="22"/>
          <w:szCs w:val="22"/>
        </w:rPr>
        <w:t xml:space="preserve">Revenue grew 42.1% in fiscal 2026 to $8,194.6m, 36.5% year on year in the June-quarter of FY2027 to $2,739.3m, and 32.2% across the first half of FY2027. Marvell guided the October quarter to $3,150m at the midpoint, plus or minus 5% (27 August 2026 release). Almost none of that is acquired.</w:t>
      </w:r>
    </w:p>
    <w:p>
      <w:pPr>
        <w:pStyle w:val="Heading2"/>
        <w:spacing w:after="180" w:before="180"/>
      </w:pPr>
      <w:r>
        <w:rPr>
          <w:rFonts w:ascii="Arial" w:cs="Arial" w:eastAsia="Arial" w:hAnsi="Arial"/>
          <w:b/>
          <w:bCs/>
          <w:color w:val="1F3864"/>
          <w:sz w:val="28"/>
          <w:szCs w:val="28"/>
        </w:rPr>
        <w:t xml:space="preserve">Reported versus organic</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300"/>
        <w:gridCol w:w="1300"/>
        <w:gridCol w:w="3000"/>
        <w:gridCol w:w="2200"/>
        <w:gridCol w:w="1560"/>
      </w:tblGrid>
      <w:tr>
        <w:tc>
          <w:tcPr>
            <w:tcW w:type="dxa" w:w="13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Period</w:t>
            </w:r>
          </w:p>
        </w:tc>
        <w:tc>
          <w:tcPr>
            <w:tcW w:type="dxa" w:w="13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Reported growth</w:t>
            </w:r>
          </w:p>
        </w:tc>
        <w:tc>
          <w:tcPr>
            <w:tcW w:type="dxa" w:w="30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Acquisition contribution</w:t>
            </w:r>
          </w:p>
        </w:tc>
        <w:tc>
          <w:tcPr>
            <w:tcW w:type="dxa" w:w="22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Divestiture drag</w:t>
            </w:r>
          </w:p>
        </w:tc>
        <w:tc>
          <w:tcPr>
            <w:tcW w:type="dxa" w:w="15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Read</w:t>
            </w:r>
          </w:p>
        </w:tc>
      </w:tr>
      <w:tr>
        <w:tc>
          <w:tcPr>
            <w:tcW w:type="dxa" w:w="13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FY2022</w:t>
            </w:r>
          </w:p>
        </w:tc>
        <w:tc>
          <w:tcPr>
            <w:tcW w:type="dxa" w:w="13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+50.3%</w:t>
            </w:r>
          </w:p>
        </w:tc>
        <w:tc>
          <w:tcPr>
            <w:tcW w:type="dxa" w:w="30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Inphi (Apr 2021) and Innovium (Oct 2021); standalone acquired revenue "impracticable to determine"; pro-forma implies c.$717m of FY2021 revenue</w:t>
            </w:r>
          </w:p>
        </w:tc>
        <w:tc>
          <w:tcPr>
            <w:tcW w:type="dxa" w:w="22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w:t>
            </w:r>
          </w:p>
        </w:tc>
        <w:tc>
          <w:tcPr>
            <w:tcW w:type="dxa" w:w="15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Substantially acquisition-driven</w:t>
            </w:r>
          </w:p>
        </w:tc>
      </w:tr>
      <w:tr>
        <w:tc>
          <w:tcPr>
            <w:tcW w:type="dxa" w:w="13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FY2026</w:t>
            </w:r>
          </w:p>
        </w:tc>
        <w:tc>
          <w:tcPr>
            <w:tcW w:type="dxa" w:w="13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+42.1%</w:t>
            </w:r>
          </w:p>
        </w:tc>
        <w:tc>
          <w:tcPr>
            <w:tcW w:type="dxa" w:w="30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None — no acquisition closed in the year</w:t>
            </w:r>
          </w:p>
        </w:tc>
        <w:tc>
          <w:tcPr>
            <w:tcW w:type="dxa" w:w="22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Automotive ethernet from 14 Aug 2025 (c.$225–250m annual revenue per Infineon)</w:t>
            </w:r>
          </w:p>
        </w:tc>
        <w:tc>
          <w:tcPr>
            <w:tcW w:type="dxa" w:w="15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Organic growth exceeded the reported rate</w:t>
            </w:r>
          </w:p>
        </w:tc>
      </w:tr>
      <w:tr>
        <w:tc>
          <w:tcPr>
            <w:tcW w:type="dxa" w:w="13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1H FY2027</w:t>
            </w:r>
          </w:p>
        </w:tc>
        <w:tc>
          <w:tcPr>
            <w:tcW w:type="dxa" w:w="13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+32.2%</w:t>
            </w:r>
          </w:p>
        </w:tc>
        <w:tc>
          <w:tcPr>
            <w:tcW w:type="dxa" w:w="30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Celestial AI and XConn closed Feb 2026; revenue and earnings "not material"</w:t>
            </w:r>
          </w:p>
        </w:tc>
        <w:tc>
          <w:tcPr>
            <w:tcW w:type="dxa" w:w="22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Full-period absence of automotive ethernet</w:t>
            </w:r>
          </w:p>
        </w:tc>
        <w:tc>
          <w:tcPr>
            <w:tcW w:type="dxa" w:w="15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Essentially all organic</w:t>
            </w:r>
          </w:p>
        </w:tc>
      </w:tr>
    </w:tbl>
    <w:p>
      <w:pPr>
        <w:spacing w:after="200" w:before="60" w:line="240"/>
      </w:pPr>
      <w:r>
        <w:rPr>
          <w:rFonts w:ascii="Arial" w:cs="Arial" w:eastAsia="Arial" w:hAnsi="Arial"/>
          <w:i/>
          <w:iCs/>
          <w:color w:val="595959"/>
          <w:sz w:val="18"/>
          <w:szCs w:val="18"/>
        </w:rPr>
        <w:t xml:space="preserve">Source: FY2022 10-K Note 4 and MD&amp;A; FY2026 10-K MD&amp;A; Q2 FY2027 10-Q Note 4; Infineon release 14 August 2025. The decomposition runs in the unusual direction: the headline understates the underlying rate in fiscal 2026 because a revenue-generating business was sold mid-year.</w:t>
      </w:r>
    </w:p>
    <w:p>
      <w:pPr>
        <w:spacing w:after="140" w:line="264"/>
      </w:pPr>
      <w:r>
        <w:rPr>
          <w:rFonts w:ascii="Arial" w:cs="Arial" w:eastAsia="Arial" w:hAnsi="Arial"/>
          <w:sz w:val="22"/>
          <w:szCs w:val="22"/>
        </w:rPr>
        <w:t xml:space="preserve">This matters because the pattern reverses the company's own history. Fiscal 2022's 50% growth was bought — Marvell paid $9.9bn for Inphi and $1.0bn for Innovium, issuing 146.2m shares and raising $3.9bn of debt in a single year. Fiscal 2026's 42% was not. The two look identical in a growth table and describe entirely different businesses.</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00" w:line="264"/>
      </w:pPr>
      <w:r>
        <w:rPr>
          <w:rFonts w:ascii="Arial" w:cs="Arial" w:eastAsia="Arial" w:hAnsi="Arial"/>
          <w:b/>
          <w:bCs/>
          <w:sz w:val="22"/>
          <w:szCs w:val="22"/>
        </w:rPr>
        <w:t xml:space="preserve">1. Hyperscaler AI capital spending — structural, but externally set. </w:t>
      </w:r>
      <w:r>
        <w:rPr>
          <w:rFonts w:ascii="Arial" w:cs="Arial" w:eastAsia="Arial" w:hAnsi="Arial"/>
          <w:sz w:val="22"/>
          <w:szCs w:val="22"/>
        </w:rPr>
        <w:t xml:space="preserve">Data-centre revenue went from 40% of the total in fiscal 2024 to 72% in fiscal 2025, 74% in fiscal 2026 and 79% in the June-2026 quarter, reaching $2,171.5m in the quarter on 46% year-on-year growth. The five largest hyperscalers reported roughly $187bn of capital expenditure in their latest quarters. Marvell does not create this demand; it competes for a share of it, and the spending decision sits entirely with five companies.</w:t>
      </w:r>
    </w:p>
    <w:p>
      <w:pPr>
        <w:pStyle w:val="ListParagraph"/>
        <w:numPr>
          <w:ilvl w:val="0"/>
          <w:numId w:val="2"/>
        </w:numPr>
        <w:spacing w:after="100" w:line="264"/>
      </w:pPr>
      <w:r>
        <w:rPr>
          <w:rFonts w:ascii="Arial" w:cs="Arial" w:eastAsia="Arial" w:hAnsi="Arial"/>
          <w:b/>
          <w:bCs/>
          <w:sz w:val="22"/>
          <w:szCs w:val="22"/>
        </w:rPr>
        <w:t xml:space="preserve">2. The Google custom-silicon agreement — structural, and the single largest identifiable lever. </w:t>
      </w:r>
      <w:r>
        <w:rPr>
          <w:rFonts w:ascii="Arial" w:cs="Arial" w:eastAsia="Arial" w:hAnsi="Arial"/>
          <w:sz w:val="22"/>
          <w:szCs w:val="22"/>
        </w:rPr>
        <w:t xml:space="preserve">The 29 July 2026 agreement covers AI inference accelerators, storage controllers, NICs, memory interface controllers and near-memory compute for Google's TPU ecosystem. The attached warrant vests in 240 tranches, one for each $500m of cumulative custom-products revenue, through fiscal 2033. That structure is disclosure about scale ambition, not a commitment — it is a full-vesting ceiling, and Marvell has published no revenue expectation against it. Management said on 27 August 2026 that it expects "a significant acceleration in our Custom business beginning in the second half of fiscal 2027."</w:t>
      </w:r>
    </w:p>
    <w:p>
      <w:pPr>
        <w:pStyle w:val="ListParagraph"/>
        <w:numPr>
          <w:ilvl w:val="0"/>
          <w:numId w:val="2"/>
        </w:numPr>
        <w:spacing w:after="100" w:line="264"/>
      </w:pPr>
      <w:r>
        <w:rPr>
          <w:rFonts w:ascii="Arial" w:cs="Arial" w:eastAsia="Arial" w:hAnsi="Arial"/>
          <w:b/>
          <w:bCs/>
          <w:sz w:val="22"/>
          <w:szCs w:val="22"/>
        </w:rPr>
        <w:t xml:space="preserve">3. Interconnect content attach — structural, and the margin-protective driver. </w:t>
      </w:r>
      <w:r>
        <w:rPr>
          <w:rFonts w:ascii="Arial" w:cs="Arial" w:eastAsia="Arial" w:hAnsi="Arial"/>
          <w:sz w:val="22"/>
          <w:szCs w:val="22"/>
        </w:rPr>
        <w:t xml:space="preserve">The Q2 FY2027 MD&amp;A widened its attribution from fiscal 2026's "custom products and electro-optics" to "a broad range of our products, including electro-optics, custom, storage, and switching." Because interconnect carries a richer margin than custom compute, growth arriving through this channel is worth materially more per dollar than growth arriving through the ASIC channel.</w:t>
      </w:r>
    </w:p>
    <w:p>
      <w:pPr>
        <w:pStyle w:val="ListParagraph"/>
        <w:numPr>
          <w:ilvl w:val="0"/>
          <w:numId w:val="2"/>
        </w:numPr>
        <w:spacing w:after="100" w:line="264"/>
      </w:pPr>
      <w:r>
        <w:rPr>
          <w:rFonts w:ascii="Arial" w:cs="Arial" w:eastAsia="Arial" w:hAnsi="Arial"/>
          <w:b/>
          <w:bCs/>
          <w:sz w:val="22"/>
          <w:szCs w:val="22"/>
        </w:rPr>
        <w:t xml:space="preserve">4. The Nvidia partnership — management-driven, and unproven in revenue. </w:t>
      </w:r>
      <w:r>
        <w:rPr>
          <w:rFonts w:ascii="Arial" w:cs="Arial" w:eastAsia="Arial" w:hAnsi="Arial"/>
          <w:sz w:val="22"/>
          <w:szCs w:val="22"/>
        </w:rPr>
        <w:t xml:space="preserve">Marvell provides custom XPUs and NVLink Fusion-compatible scale-up networking into Nvidia's rack ecosystem, with $2.0bn of preferred stock attached. It widens the addressable set of platforms, but no revenue has been attributed to it in any filing.</w:t>
      </w:r>
    </w:p>
    <w:p>
      <w:pPr>
        <w:pStyle w:val="ListParagraph"/>
        <w:numPr>
          <w:ilvl w:val="0"/>
          <w:numId w:val="2"/>
        </w:numPr>
        <w:spacing w:after="100" w:line="264"/>
      </w:pPr>
      <w:r>
        <w:rPr>
          <w:rFonts w:ascii="Arial" w:cs="Arial" w:eastAsia="Arial" w:hAnsi="Arial"/>
          <w:b/>
          <w:bCs/>
          <w:sz w:val="22"/>
          <w:szCs w:val="22"/>
        </w:rPr>
        <w:t xml:space="preserve">5. The communications recovery — cyclical, and largely spent. </w:t>
      </w:r>
      <w:r>
        <w:rPr>
          <w:rFonts w:ascii="Arial" w:cs="Arial" w:eastAsia="Arial" w:hAnsi="Arial"/>
          <w:sz w:val="22"/>
          <w:szCs w:val="22"/>
        </w:rPr>
        <w:t xml:space="preserve">Communications and other grew 31% in fiscal 2026 as "a period of inventory correction" ended, but only 10% year on year in the June quarter. This was a restocking rebound off a depressed base, and the base effect has now lapsed.</w:t>
      </w:r>
    </w:p>
    <w:p>
      <w:pPr>
        <w:pStyle w:val="ListParagraph"/>
        <w:numPr>
          <w:ilvl w:val="0"/>
          <w:numId w:val="2"/>
        </w:numPr>
        <w:spacing w:after="100" w:line="264"/>
      </w:pPr>
      <w:r>
        <w:rPr>
          <w:rFonts w:ascii="Arial" w:cs="Arial" w:eastAsia="Arial" w:hAnsi="Arial"/>
          <w:b/>
          <w:bCs/>
          <w:sz w:val="22"/>
          <w:szCs w:val="22"/>
        </w:rPr>
        <w:t xml:space="preserve">6. Acquired capability — management-driven, revenue immaterial so far. </w:t>
      </w:r>
      <w:r>
        <w:rPr>
          <w:rFonts w:ascii="Arial" w:cs="Arial" w:eastAsia="Arial" w:hAnsi="Arial"/>
          <w:sz w:val="22"/>
          <w:szCs w:val="22"/>
        </w:rPr>
        <w:t xml:space="preserve">Celestial AI ($3,533.7m total consideration, Photonic Fabric scale-up interconnect) and XConn ($469.0m, PCIe and CXL switching) both closed in February 2026. Both are disclosed as contributing revenue that is "not material." These are option purchases on the scale-up interconnect standard, not current growth.</w:t>
      </w:r>
    </w:p>
    <w:p>
      <w:pPr>
        <w:spacing w:after="140" w:line="264"/>
      </w:pPr>
      <w:r>
        <w:rPr>
          <w:rFonts w:ascii="Arial" w:cs="Arial" w:eastAsia="Arial" w:hAnsi="Arial"/>
          <w:sz w:val="22"/>
          <w:szCs w:val="22"/>
        </w:rPr>
        <w:t xml:space="preserve">Price is not on this list, and its absence is a finding. Marvell discloses no unit volumes, no average selling prices and no backlog, and states that "the average unit selling prices of our products will continue to be subject to significant pricing pressures." Growth in this business is won by taking sockets, not by raising prices.</w:t>
      </w:r>
    </w:p>
    <w:p>
      <w:pPr>
        <w:pStyle w:val="Heading1"/>
        <w:pageBreakBefore/>
        <w:spacing w:after="200" w:before="360"/>
      </w:pPr>
      <w:r>
        <w:rPr>
          <w:rFonts w:ascii="Arial" w:cs="Arial" w:eastAsia="Arial" w:hAnsi="Arial"/>
          <w:b/>
          <w:bCs/>
          <w:color w:val="1F3864"/>
          <w:sz w:val="32"/>
          <w:szCs w:val="32"/>
        </w:rPr>
        <w:t xml:space="preserve">5. Margin, Cash and Capital Allocation</w:t>
      </w:r>
    </w:p>
    <w:p>
      <w:pPr>
        <w:pStyle w:val="Heading2"/>
        <w:spacing w:after="180" w:before="180"/>
      </w:pPr>
      <w:r>
        <w:rPr>
          <w:rFonts w:ascii="Arial" w:cs="Arial" w:eastAsia="Arial" w:hAnsi="Arial"/>
          <w:b/>
          <w:bCs/>
          <w:color w:val="1F3864"/>
          <w:sz w:val="28"/>
          <w:szCs w:val="28"/>
        </w:rPr>
        <w:t xml:space="preserve">How margin is made</w:t>
      </w:r>
    </w:p>
    <w:p>
      <w:pPr>
        <w:spacing w:after="140" w:line="264"/>
      </w:pPr>
      <w:r>
        <w:rPr>
          <w:rFonts w:ascii="Arial" w:cs="Arial" w:eastAsia="Arial" w:hAnsi="Arial"/>
          <w:sz w:val="22"/>
          <w:szCs w:val="22"/>
        </w:rPr>
        <w:t xml:space="preserve">Gross margin reached 51.0% in fiscal 2026 from 41.3%, and 53.1% in the June-2026 quarter. Most of the first move was the disappearance of a prior-year charge, not operating improvement: fiscal 2025 carried $357.9m of restructuring impairments inside cost of goods sold, worth 6.2 percentage points of that year's revenue. Adjusting for it, fiscal 2025 gross margin was approximately 47.5% and the underlying fiscal 2026 improvement was closer to 3.5 points, which the MD&amp;A attributes to "better cost absorption driven by higher revenues, partially offset by a shift in product mix."</w:t>
      </w:r>
    </w:p>
    <w:p>
      <w:pPr>
        <w:spacing w:after="140" w:line="264"/>
      </w:pPr>
      <w:r>
        <w:rPr>
          <w:rFonts w:ascii="Arial" w:cs="Arial" w:eastAsia="Arial" w:hAnsi="Arial"/>
          <w:sz w:val="22"/>
          <w:szCs w:val="22"/>
        </w:rPr>
        <w:t xml:space="preserve">The mix wording is worth tracking sentence by sentence, because it is the tell on custom economics. Fiscal 2026 and Q1 FY2027 both describe product mix as a partial offset — a drag. Q2 FY2027 flips it to "better cost absorption driven by higher revenues and better product mix." One quarter of favourable mix does not overturn the company's own structural statement that the ASIC model "tends to have a lower gross margin," and the custom ramp management has guided to for the second half of fiscal 2027 has not yet run through the reported numbers.</w:t>
      </w:r>
    </w:p>
    <w:p>
      <w:pPr>
        <w:spacing w:after="140" w:line="264"/>
      </w:pPr>
      <w:r>
        <w:rPr>
          <w:rFonts w:ascii="Arial" w:cs="Arial" w:eastAsia="Arial" w:hAnsi="Arial"/>
          <w:sz w:val="22"/>
          <w:szCs w:val="22"/>
        </w:rPr>
        <w:t xml:space="preserve">Below the gross line, the cost structure is dominated by three non-cash or quasi-fixed items. Amortisation of acquired intangibles was $942.0m in fiscal 2026 — 11.5% of revenue, sitting inside cost of goods sold and operating expenses without a separate income-statement line — and $814.0m is scheduled for fiscal 2027 on the pre-acquisition base alone, before roughly $1.0bn of newly acquired Celestial and XConn intangibles. Stock-based compensation was $590.8m, or 7.2% of revenue, in fiscal 2026; it has since jumped to 11.9% of revenue in the June quarter, driven by $190.1m of assumed Celestial awards and headcount from the acquisitions. R&amp;D fell from 33.9% of revenue to 25.3% purely through revenue growth — the absolute figure rose every year. Fiscal 2026 also carried $88.3m of government incentives, $68.8m of it credited against cost of goods sold, under a programme running to February 2030 and subject to clawback.</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60"/>
        <w:gridCol w:w="1550"/>
        <w:gridCol w:w="1550"/>
        <w:gridCol w:w="1550"/>
        <w:gridCol w:w="1550"/>
      </w:tblGrid>
      <w:tr>
        <w:tc>
          <w:tcPr>
            <w:tcW w:type="dxa" w:w="31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$m unless stated</w:t>
            </w:r>
          </w:p>
        </w:tc>
        <w:tc>
          <w:tcPr>
            <w:tcW w:type="dxa" w:w="155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FY2022</w:t>
            </w:r>
          </w:p>
        </w:tc>
        <w:tc>
          <w:tcPr>
            <w:tcW w:type="dxa" w:w="155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FY2024</w:t>
            </w:r>
          </w:p>
        </w:tc>
        <w:tc>
          <w:tcPr>
            <w:tcW w:type="dxa" w:w="155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FY2025</w:t>
            </w:r>
          </w:p>
        </w:tc>
        <w:tc>
          <w:tcPr>
            <w:tcW w:type="dxa" w:w="155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FY2026</w:t>
            </w:r>
          </w:p>
        </w:tc>
      </w:tr>
      <w:tr>
        <w:tc>
          <w:tcPr>
            <w:tcW w:type="dxa" w:w="31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Net revenue</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4,462.4</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5,507.7</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5,767.3</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8,194.6</w:t>
            </w:r>
          </w:p>
        </w:tc>
      </w:tr>
      <w:tr>
        <w:tc>
          <w:tcPr>
            <w:tcW w:type="dxa" w:w="31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GAAP gross margin</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46.3%</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41.6%</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41.3%</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51.0%</w:t>
            </w:r>
          </w:p>
        </w:tc>
      </w:tr>
      <w:tr>
        <w:tc>
          <w:tcPr>
            <w:tcW w:type="dxa" w:w="31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Operating income (loss)</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(347.7)</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(567.7)</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(720.3)</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1,322.9</w:t>
            </w:r>
          </w:p>
        </w:tc>
      </w:tr>
      <w:tr>
        <w:tc>
          <w:tcPr>
            <w:tcW w:type="dxa" w:w="31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Data centre % of revenue</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40%</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40%</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72%</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74%</w:t>
            </w:r>
          </w:p>
        </w:tc>
      </w:tr>
      <w:tr>
        <w:tc>
          <w:tcPr>
            <w:tcW w:type="dxa" w:w="31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Operating cash flow</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819.4</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1,370.5</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1,681.2</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1,750.5</w:t>
            </w:r>
          </w:p>
        </w:tc>
      </w:tr>
      <w:tr>
        <w:tc>
          <w:tcPr>
            <w:tcW w:type="dxa" w:w="31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Capital expenditure</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169.3</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336.3</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284.6</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354.1</w:t>
            </w:r>
          </w:p>
        </w:tc>
      </w:tr>
    </w:tbl>
    <w:p>
      <w:pPr>
        <w:spacing w:after="200" w:before="60" w:line="240"/>
      </w:pPr>
      <w:r>
        <w:rPr>
          <w:rFonts w:ascii="Arial" w:cs="Arial" w:eastAsia="Arial" w:hAnsi="Arial"/>
          <w:i/>
          <w:iCs/>
          <w:color w:val="595959"/>
          <w:sz w:val="18"/>
          <w:szCs w:val="18"/>
        </w:rPr>
        <w:t xml:space="preserve">Sources: FY2022, FY2024, FY2025 and FY2026 10-Ks. Comparability warnings, all material: fiscal 2024 was a 53-week year; fiscal 2025 gross margin includes $357.9m of restructuring charges in cost of goods sold, absent in every other year shown; fiscal 2022 gross margin includes $194.3m of acquired-inventory fair-value amortisation from Inphi; and the end-market categories were consolidated from five to two in the fourth quarter of fiscal 2026, so the data-centre line is the only end-market series that is continuous across all four years. Fiscal 2026 net income of $2,670.1m includes the $1,830.4m pre-tax divestiture gain, which sits below the operating line. Latest reported: Q2 FY2027 revenue $2,739.3m, gross margin 53.1%, operating income $459.7m.</w:t>
      </w:r>
    </w:p>
    <w:p>
      <w:pPr>
        <w:pStyle w:val="Heading2"/>
        <w:spacing w:after="180" w:before="180"/>
      </w:pPr>
      <w:r>
        <w:rPr>
          <w:rFonts w:ascii="Arial" w:cs="Arial" w:eastAsia="Arial" w:hAnsi="Arial"/>
          <w:b/>
          <w:bCs/>
          <w:color w:val="1F3864"/>
          <w:sz w:val="28"/>
          <w:szCs w:val="28"/>
        </w:rPr>
        <w:t xml:space="preserve">Cash conversion</w:t>
      </w:r>
    </w:p>
    <w:p>
      <w:pPr>
        <w:spacing w:after="140" w:line="264"/>
      </w:pPr>
      <w:r>
        <w:rPr>
          <w:rFonts w:ascii="Arial" w:cs="Arial" w:eastAsia="Arial" w:hAnsi="Arial"/>
          <w:sz w:val="22"/>
          <w:szCs w:val="22"/>
        </w:rPr>
        <w:t xml:space="preserve">Operating cash flow was $1,750.5m in fiscal 2026 against $354.1m of capital expenditure, giving roughly $1,396m of free cash flow — almost identical to the prior year despite revenue growing 42%. The reason is working capital: receivables absorbed $1,158.2m and inventory $389.8m as the business scaled, offsetting a much larger profit. Two adjustments belong alongside the reported figure. Operating cash flow includes $735.5m of proceeds from factored receivables, and unpaid capital expenditure at year end rose to $156.4m from $69.3m, so cash capex understates the fiscal 2026 spend by roughly $87m.</w:t>
      </w:r>
    </w:p>
    <w:p>
      <w:pPr>
        <w:spacing w:after="140" w:line="264"/>
      </w:pPr>
      <w:r>
        <w:rPr>
          <w:rFonts w:ascii="Arial" w:cs="Arial" w:eastAsia="Arial" w:hAnsi="Arial"/>
          <w:sz w:val="22"/>
          <w:szCs w:val="22"/>
        </w:rPr>
        <w:t xml:space="preserve">The balance sheet is not the constraint. At 1 August 2026 Marvell held $3,932.8m of cash against $4,999.9m of face-value senior unsecured notes, for roughly $1.07bn of net debt, with no maturity until February 2029 and a $1.5bn revolving facility undrawn. What the balance sheet does carry is concentration: goodwill of $13,873.9m and intangibles of $2,346.6m together are 58.9% of total assets, tested against a single reporting unit, so any impairment test is all-or-nothing rather than segment-buffered.</w:t>
      </w:r>
    </w:p>
    <w:p>
      <w:pPr>
        <w:pStyle w:val="Heading2"/>
        <w:spacing w:after="180" w:before="180"/>
      </w:pPr>
      <w:r>
        <w:rPr>
          <w:rFonts w:ascii="Arial" w:cs="Arial" w:eastAsia="Arial" w:hAnsi="Arial"/>
          <w:b/>
          <w:bCs/>
          <w:color w:val="1F3864"/>
          <w:sz w:val="28"/>
          <w:szCs w:val="28"/>
        </w:rPr>
        <w:t xml:space="preserve">Where the cash went, and what the ranking says</w:t>
      </w:r>
    </w:p>
    <w:p>
      <w:pPr>
        <w:spacing w:after="140" w:line="264"/>
      </w:pPr>
      <w:r>
        <w:rPr>
          <w:rFonts w:ascii="Arial" w:cs="Arial" w:eastAsia="Arial" w:hAnsi="Arial"/>
          <w:sz w:val="22"/>
          <w:szCs w:val="22"/>
        </w:rPr>
        <w:t xml:space="preserve">Fiscal 2026, in order: share repurchases $2,040.1m, debt repayment $790.6m, capital expenditure $354.1m, employee tax withholding on share settlement $240.7m, dividends $205.1m, technology licence obligations $128.3m. Funded by $1,750.5m of operating cash flow, $2,478.6m of divestiture proceeds and $1,198.6m of new borrowing.</w:t>
      </w:r>
    </w:p>
    <w:p>
      <w:pPr>
        <w:spacing w:after="140" w:line="264"/>
      </w:pPr>
      <w:r>
        <w:rPr>
          <w:rFonts w:ascii="Arial" w:cs="Arial" w:eastAsia="Arial" w:hAnsi="Arial"/>
          <w:sz w:val="22"/>
          <w:szCs w:val="22"/>
        </w:rPr>
        <w:t xml:space="preserve">The first half of fiscal 2027 reorders it completely: acquisitions $1,270.9m net of cash acquired, debt repayment $500.0m, buybacks $400.0m, employee tax withholding $365.2m, capital expenditure $282.4m, dividends $107.7m — funded by $1,244.3m of operating cash flow, $2.0bn from Nvidia's preferred investment and $998.9m of new notes.</w:t>
      </w:r>
    </w:p>
    <w:p>
      <w:pPr>
        <w:spacing w:after="140" w:line="264"/>
      </w:pPr>
      <w:r>
        <w:rPr>
          <w:rFonts w:ascii="Arial" w:cs="Arial" w:eastAsia="Arial" w:hAnsi="Arial"/>
          <w:sz w:val="22"/>
          <w:szCs w:val="22"/>
        </w:rPr>
        <w:t xml:space="preserve">Read across the two years, three behaviours stand out. Management recycled a divestiture into buybacks at scale — $2.0bn in one year against $990m across the prior four combined, at an average $76.46 per share, including a $1.0bn accelerated repurchase in September 2025. It then stopped: 1.1m shares in May 2026 and none in June or July, with $5.1bn of authority still available. And it funded the Celestial and XConn purchases substantially with its own equity — $2.5bn of the combined consideration was stock — while accepting $2.0bn of preferred from a named competitor. The dividend has been $0.24 per share every year since fiscal 2020 and has not been raised once through a period in which revenue tripled; it is a legacy line, not a capital-allocation instrument.</w:t>
      </w:r>
    </w:p>
    <w:p>
      <w:pPr>
        <w:spacing w:after="140" w:line="264"/>
      </w:pPr>
      <w:r>
        <w:rPr>
          <w:rFonts w:ascii="Arial" w:cs="Arial" w:eastAsia="Arial" w:hAnsi="Arial"/>
          <w:sz w:val="22"/>
          <w:szCs w:val="22"/>
        </w:rPr>
        <w:t xml:space="preserve">The share count tells the same story from the other side. Buybacks reduced shares outstanding by 18.7m in fiscal 2026, to 847.3m. In the first half of fiscal 2027 the count rose 29.5m to 876.8m, as 26.8m shares were issued for Celestial and XConn. Against that sit up to 21.8m shares from Nvidia's preferred conversion, up to 22.4m from the Celestial earn-out, and up to 59.0m from the Google warrant — a potential share count near 990m, roughly 17% above the fiscal 2026 year-end figure.</w:t>
      </w:r>
    </w:p>
    <w:p>
      <w:pPr>
        <w:spacing w:after="140" w:line="264"/>
      </w:pPr>
      <w:r>
        <w:rPr>
          <w:rFonts w:ascii="Arial" w:cs="Arial" w:eastAsia="Arial" w:hAnsi="Arial"/>
          <w:sz w:val="22"/>
          <w:szCs w:val="22"/>
        </w:rPr>
        <w:t xml:space="preserve">No transaction was announced and unclosed as of the 28 August 2026 filing. Two contingent obligations post-date the reported figures and are not in them: the Celestial earn-out of up to approximately $233.0m cash and 22.4m shares through fiscal 2029, and the Google warrant issued 18 August 2026, for which no fair value has been disclosed in any public document.</w:t>
      </w:r>
    </w:p>
    <w:p>
      <w:pPr>
        <w:pStyle w:val="Heading1"/>
        <w:pageBreakBefore/>
        <w:spacing w:after="200" w:before="360"/>
      </w:pPr>
      <w:r>
        <w:rPr>
          <w:rFonts w:ascii="Arial" w:cs="Arial" w:eastAsia="Arial" w:hAnsi="Arial"/>
          <w:b/>
          <w:bCs/>
          <w:color w:val="1F3864"/>
          <w:sz w:val="32"/>
          <w:szCs w:val="32"/>
        </w:rPr>
        <w:t xml:space="preserve">6. Cyclicality, Constraints and What to Monitor</w:t>
      </w:r>
    </w:p>
    <w:p>
      <w:pPr>
        <w:pStyle w:val="Heading2"/>
        <w:spacing w:after="180" w:before="180"/>
      </w:pPr>
      <w:r>
        <w:rPr>
          <w:rFonts w:ascii="Arial" w:cs="Arial" w:eastAsia="Arial" w:hAnsi="Arial"/>
          <w:b/>
          <w:bCs/>
          <w:color w:val="1F3864"/>
          <w:sz w:val="28"/>
          <w:szCs w:val="28"/>
        </w:rPr>
        <w:t xml:space="preserve">Where the business sits in its cycle</w:t>
      </w:r>
    </w:p>
    <w:p>
      <w:pPr>
        <w:spacing w:after="140" w:line="264"/>
      </w:pPr>
      <w:r>
        <w:rPr>
          <w:rFonts w:ascii="Arial" w:cs="Arial" w:eastAsia="Arial" w:hAnsi="Arial"/>
          <w:sz w:val="22"/>
          <w:szCs w:val="22"/>
        </w:rPr>
        <w:t xml:space="preserve">Every operating metric is at or near its record. Revenue of $2,739.3m in the June-2026 quarter is the highest in the filings, annualising to roughly $11.0bn against $8.2bn actual for fiscal 2026. Gross margin of 53.1% is the highest; operating margin of 16.8% is the highest. The prior trough is close behind and instructive: fiscal 2025 gross margin was 41.3%, operating margin was negative 12.5%, and the company reported an $885.0m net loss — two years ago.</w:t>
      </w:r>
    </w:p>
    <w:p>
      <w:pPr>
        <w:spacing w:after="140" w:line="264"/>
      </w:pPr>
      <w:r>
        <w:rPr>
          <w:rFonts w:ascii="Arial" w:cs="Arial" w:eastAsia="Arial" w:hAnsi="Arial"/>
          <w:sz w:val="22"/>
          <w:szCs w:val="22"/>
        </w:rPr>
        <w:t xml:space="preserve">The industry backdrop is at a record too. Global semiconductor sales ran $403.3bn in the second quarter of 2026, up 35.1% sequentially, and the Semiconductor Industry Association moved its 2026 forecast from roughly $1 trillion in February to above $1.5 trillion in August. A record margin at a cycle peak and a record margin at a trough are opposite facts, and this is the former.</w:t>
      </w:r>
    </w:p>
    <w:p>
      <w:pPr>
        <w:pStyle w:val="Heading2"/>
        <w:spacing w:after="180" w:before="180"/>
      </w:pPr>
      <w:r>
        <w:rPr>
          <w:rFonts w:ascii="Arial" w:cs="Arial" w:eastAsia="Arial" w:hAnsi="Arial"/>
          <w:b/>
          <w:bCs/>
          <w:color w:val="1F3864"/>
          <w:sz w:val="28"/>
          <w:szCs w:val="28"/>
        </w:rPr>
        <w:t xml:space="preserve">Exposure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1700"/>
        <w:gridCol w:w="1500"/>
        <w:gridCol w:w="3660"/>
      </w:tblGrid>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Exposure</w:t>
            </w:r>
          </w:p>
        </w:tc>
        <w:tc>
          <w:tcPr>
            <w:tcW w:type="dxa" w:w="17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Latest</w:t>
            </w:r>
          </w:p>
        </w:tc>
        <w:tc>
          <w:tcPr>
            <w:tcW w:type="dxa" w:w="150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Prior year</w:t>
            </w:r>
          </w:p>
        </w:tc>
        <w:tc>
          <w:tcPr>
            <w:tcW w:type="dxa" w:w="366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Note</w:t>
            </w:r>
          </w:p>
        </w:tc>
      </w:tr>
      <w:tr>
        <w:tc>
          <w:tcPr>
            <w:tcW w:type="dxa" w:w="2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Data centre</w:t>
            </w:r>
          </w:p>
        </w:tc>
        <w:tc>
          <w:tcPr>
            <w:tcW w:type="dxa" w:w="17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79% (Q2 FY27)</w:t>
            </w:r>
          </w:p>
        </w:tc>
        <w:tc>
          <w:tcPr>
            <w:tcW w:type="dxa" w:w="1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74% (Q2 FY26)</w:t>
            </w:r>
          </w:p>
        </w:tc>
        <w:tc>
          <w:tcPr>
            <w:tcW w:type="dxa" w:w="36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40% as recently as FY2024</w:t>
            </w:r>
          </w:p>
        </w:tc>
      </w:tr>
      <w:tr>
        <w:tc>
          <w:tcPr>
            <w:tcW w:type="dxa" w:w="2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Communications and other</w:t>
            </w:r>
          </w:p>
        </w:tc>
        <w:tc>
          <w:tcPr>
            <w:tcW w:type="dxa" w:w="17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21%</w:t>
            </w:r>
          </w:p>
        </w:tc>
        <w:tc>
          <w:tcPr>
            <w:tcW w:type="dxa" w:w="1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26%</w:t>
            </w:r>
          </w:p>
        </w:tc>
        <w:tc>
          <w:tcPr>
            <w:tcW w:type="dxa" w:w="36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Four former end markets, merged in Q4 FY2026</w:t>
            </w:r>
          </w:p>
        </w:tc>
      </w:tr>
      <w:tr>
        <w:tc>
          <w:tcPr>
            <w:tcW w:type="dxa" w:w="2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Ship-to China</w:t>
            </w:r>
          </w:p>
        </w:tc>
        <w:tc>
          <w:tcPr>
            <w:tcW w:type="dxa" w:w="17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42% (Q2 FY27)</w:t>
            </w:r>
          </w:p>
        </w:tc>
        <w:tc>
          <w:tcPr>
            <w:tcW w:type="dxa" w:w="1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29%</w:t>
            </w:r>
          </w:p>
        </w:tc>
        <w:tc>
          <w:tcPr>
            <w:tcW w:type="dxa" w:w="36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"Substantial majority" is contract manufacturing for non-China customers</w:t>
            </w:r>
          </w:p>
        </w:tc>
      </w:tr>
      <w:tr>
        <w:tc>
          <w:tcPr>
            <w:tcW w:type="dxa" w:w="2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Ship-to Asia in total</w:t>
            </w:r>
          </w:p>
        </w:tc>
        <w:tc>
          <w:tcPr>
            <w:tcW w:type="dxa" w:w="17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84% (Q2 FY27)</w:t>
            </w:r>
          </w:p>
        </w:tc>
        <w:tc>
          <w:tcPr>
            <w:tcW w:type="dxa" w:w="1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76%</w:t>
            </w:r>
          </w:p>
        </w:tc>
        <w:tc>
          <w:tcPr>
            <w:tcW w:type="dxa" w:w="36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US ship-to fell to 7% from 15%</w:t>
            </w:r>
          </w:p>
        </w:tc>
      </w:tr>
      <w:tr>
        <w:tc>
          <w:tcPr>
            <w:tcW w:type="dxa" w:w="2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Distributor A</w:t>
            </w:r>
          </w:p>
        </w:tc>
        <w:tc>
          <w:tcPr>
            <w:tcW w:type="dxa" w:w="17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45% (1H FY27)</w:t>
            </w:r>
          </w:p>
        </w:tc>
        <w:tc>
          <w:tcPr>
            <w:tcW w:type="dxa" w:w="150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35%</w:t>
            </w:r>
          </w:p>
        </w:tc>
        <w:tc>
          <w:tcPr>
            <w:tcW w:type="dxa" w:w="366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Party not named in any filing</w:t>
            </w:r>
          </w:p>
        </w:tc>
      </w:tr>
    </w:tbl>
    <w:p>
      <w:pPr>
        <w:spacing w:after="200" w:before="60" w:line="240"/>
      </w:pPr>
      <w:r>
        <w:rPr>
          <w:rFonts w:ascii="Arial" w:cs="Arial" w:eastAsia="Arial" w:hAnsi="Arial"/>
          <w:i/>
          <w:iCs/>
          <w:color w:val="595959"/>
          <w:sz w:val="18"/>
          <w:szCs w:val="18"/>
        </w:rPr>
        <w:t xml:space="preserve">Source: FY2026 10-K Note 3; Q2 FY2027 10-Q Note 3 and MD&amp;A. Marvell states that a substantial majority of China shipments are to factories or contract manufacturers serving non-China customers, so ship-to destination materially overstates true China end-demand. True China end exposure is not disclosed.</w:t>
      </w:r>
    </w:p>
    <w:p>
      <w:pPr>
        <w:pStyle w:val="Heading2"/>
        <w:spacing w:after="180" w:before="180"/>
      </w:pPr>
      <w:r>
        <w:rPr>
          <w:rFonts w:ascii="Arial" w:cs="Arial" w:eastAsia="Arial" w:hAnsi="Arial"/>
          <w:b/>
          <w:bCs/>
          <w:color w:val="1F3864"/>
          <w:sz w:val="28"/>
          <w:szCs w:val="28"/>
        </w:rPr>
        <w:t xml:space="preserve">The constraint that binds hardest</w:t>
      </w:r>
    </w:p>
    <w:p>
      <w:pPr>
        <w:spacing w:after="140" w:line="264"/>
      </w:pPr>
      <w:r>
        <w:rPr>
          <w:rFonts w:ascii="Arial" w:cs="Arial" w:eastAsia="Arial" w:hAnsi="Arial"/>
          <w:sz w:val="22"/>
          <w:szCs w:val="22"/>
        </w:rPr>
        <w:t xml:space="preserve">Marvell's binding constraint is supply commitment against cancellable demand, and it has grown dramatically. Unconditional purchase commitments to foundries and test and assembly partners went from $2,665.8m at 31 January 2026 to $8,518.9m at 1 August 2026 — a 220% increase in six months, with roughly $2.1–2.2bn locked into each of fiscal 2028, 2029 and 2030. Prepayments on capacity reservation agreements rose to $487.0m from $278.8m, and capital-expenditure commitments to $351.6m from $152.0m. Capacity reservation agreements run four to ten years.</w:t>
      </w:r>
    </w:p>
    <w:p>
      <w:pPr>
        <w:spacing w:after="140" w:line="264"/>
      </w:pPr>
      <w:r>
        <w:rPr>
          <w:rFonts w:ascii="Arial" w:cs="Arial" w:eastAsia="Arial" w:hAnsi="Arial"/>
          <w:sz w:val="22"/>
          <w:szCs w:val="22"/>
        </w:rPr>
        <w:t xml:space="preserve">The asymmetry is the point. Cancellation of a supply order "requires payment of all costs and expenses incurred through the date of cancellation, and in some cases, may result in incremental fees, loss of amounts paid in advance, or loss of priority to reserved capacity," and "if we are able to secure capacity, we may be obligated to use all of that capacity or incur penalties." On the other side, customer orders are cancellable on short notice. In a demand shortfall, that gap converts directly into inventory write-downs, forfeited prepayments and take-or-pay charges landing in cost of goods sold. The mechanism is not hypothetical: fiscal 2025 produced $711.8m of charges including $63.1m of inventory when Marvell cancelled its own product releases.</w:t>
      </w:r>
    </w:p>
    <w:p>
      <w:pPr>
        <w:spacing w:after="140" w:line="264"/>
      </w:pPr>
      <w:r>
        <w:rPr>
          <w:rFonts w:ascii="Arial" w:cs="Arial" w:eastAsia="Arial" w:hAnsi="Arial"/>
          <w:sz w:val="22"/>
          <w:szCs w:val="22"/>
        </w:rPr>
        <w:t xml:space="preserve">Two further constraints are outside Marvell's control. Most products "are not manufactured at more than one foundry at any given time" and are designed for one specific process at one foundry, with TSMC named for advanced-node wafers — a single point of failure that is also geographically concentrated in Taiwan. And a downside case in this industry now runs through power and packaging rather than demand: TSMC's own statement that packaging capacity is limiting customer growth means allocation, not order books, currently sets how much any vendor can ship.</w:t>
      </w:r>
    </w:p>
    <w:p>
      <w:pPr>
        <w:pStyle w:val="Heading2"/>
        <w:spacing w:after="180" w:before="180"/>
      </w:pPr>
      <w:r>
        <w:rPr>
          <w:rFonts w:ascii="Arial" w:cs="Arial" w:eastAsia="Arial" w:hAnsi="Arial"/>
          <w:b/>
          <w:bCs/>
          <w:color w:val="1F3864"/>
          <w:sz w:val="28"/>
          <w:szCs w:val="28"/>
        </w:rPr>
        <w:t xml:space="preserve">What a downturn would feel like</w:t>
      </w:r>
    </w:p>
    <w:p>
      <w:pPr>
        <w:spacing w:after="140" w:line="264"/>
      </w:pPr>
      <w:r>
        <w:rPr>
          <w:rFonts w:ascii="Arial" w:cs="Arial" w:eastAsia="Arial" w:hAnsi="Arial"/>
          <w:sz w:val="22"/>
          <w:szCs w:val="22"/>
        </w:rPr>
        <w:t xml:space="preserve">The historical record is thinner than it appears. Global semiconductor sales fell 12.1% in 2019 and 8.2% in 2023, each trough lasting roughly four to five quarters — but the damage concentrated violently in whichever segment was most inflated going in, with DRAM down 37.1% in 2019 against an index down 12.1%. Critically, neither SIA nor WSTS publishes a series isolating data-centre or networking semiconductors, and both prior downturns were driven by handsets, PCs and enterprise inventory. There is no completed AI-datacentre cycle in the data at all. An investor should resist treating "down 8% for four quarters" as the downside case for this segment; the analogue does not exist.</w:t>
      </w:r>
    </w:p>
    <w:p>
      <w:pPr>
        <w:spacing w:after="140" w:line="264"/>
      </w:pPr>
      <w:r>
        <w:rPr>
          <w:rFonts w:ascii="Arial" w:cs="Arial" w:eastAsia="Arial" w:hAnsi="Arial"/>
          <w:sz w:val="22"/>
          <w:szCs w:val="22"/>
        </w:rPr>
        <w:t xml:space="preserve">What can be said with evidence is the transmission path. A hyperscaler capex pause reaches Marvell through cancellable purchase orders within a quarter, while $8.5bn of supply commitments and $487m of prepayments remain fixed for years. Because two accounts are 61% of revenue, the shortfall need not be industry-wide to be severe — one account's inventory correction would do it.</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Durable — likely intact in ten years</w:t>
            </w:r>
          </w:p>
        </w:tc>
        <w:tc>
          <w:tcPr>
            <w:tcW w:type="dxa" w:w="4680"/>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Borrowed — currently helping, may not persist</w:t>
            </w:r>
          </w:p>
        </w:tc>
      </w:tr>
      <w:tr>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Advanced-node ASIC platform with 5nm shipped and 3nm in progress</w:t>
            </w:r>
          </w:p>
        </w:tc>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Record 53.1% gross margin set at an industry cycle peak</w:t>
            </w:r>
          </w:p>
        </w:tc>
      </w:tr>
      <w:tr>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Broad interconnect IP: PAM and coherent DSPs, silicon photonics, retimers</w:t>
            </w:r>
          </w:p>
        </w:tc>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The 9.7-point FY2026 gross-margin jump, c.6.2 points of which was the absence of a prior-year charge</w:t>
            </w:r>
          </w:p>
        </w:tc>
      </w:tr>
      <w:tr>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Named multi-year custom incumbency at Google, and a broad AWS relationship</w:t>
            </w:r>
          </w:p>
        </w:tc>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Communications restocking after an inventory correction — already decelerated to +10%</w:t>
            </w:r>
          </w:p>
        </w:tc>
      </w:tr>
      <w:tr>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Storage controllers used by all current HDD makers</w:t>
            </w:r>
          </w:p>
        </w:tc>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$88.3m of government incentives, $68.8m credited to cost of goods sold, expiring February 2030</w:t>
            </w:r>
          </w:p>
        </w:tc>
      </w:tr>
      <w:tr>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Fabless model with no fab capital to service in a downturn</w:t>
            </w:r>
          </w:p>
        </w:tc>
        <w:tc>
          <w:tcPr>
            <w:tcW w:type="dxa" w:w="4680"/>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One quarter of "better product mix" against a stated structural custom-margin drag</w:t>
            </w:r>
          </w:p>
        </w:tc>
      </w:tr>
    </w:tbl>
    <w:p>
      <w:pPr>
        <w:pStyle w:val="Heading2"/>
        <w:spacing w:after="180" w:before="180"/>
      </w:pPr>
      <w:r>
        <w:rPr>
          <w:rFonts w:ascii="Arial" w:cs="Arial" w:eastAsia="Arial" w:hAnsi="Arial"/>
          <w:b/>
          <w:bCs/>
          <w:color w:val="1F3864"/>
          <w:sz w:val="28"/>
          <w:szCs w:val="28"/>
        </w:rPr>
        <w:t xml:space="preserve">Leading indicators, and where they are published</w:t>
      </w:r>
    </w:p>
    <w:p>
      <w:pPr>
        <w:pStyle w:val="ListParagraph"/>
        <w:numPr>
          <w:ilvl w:val="0"/>
          <w:numId w:val="2"/>
        </w:numPr>
        <w:spacing w:after="100" w:line="264"/>
      </w:pPr>
      <w:r>
        <w:rPr>
          <w:rFonts w:ascii="Arial" w:cs="Arial" w:eastAsia="Arial" w:hAnsi="Arial"/>
          <w:b/>
          <w:bCs/>
          <w:sz w:val="22"/>
          <w:szCs w:val="22"/>
        </w:rPr>
        <w:t xml:space="preserve">Distributor A and Customer A percentages. </w:t>
      </w:r>
      <w:r>
        <w:rPr>
          <w:rFonts w:ascii="Arial" w:cs="Arial" w:eastAsia="Arial" w:hAnsi="Arial"/>
          <w:sz w:val="22"/>
          <w:szCs w:val="22"/>
        </w:rPr>
        <w:t xml:space="preserve">Marvell 10-Q MD&amp;A and 10-K Note 2, quarterly. The single fastest read on whether concentration is still tightening. A fall would be as informative as a rise.</w:t>
      </w:r>
    </w:p>
    <w:p>
      <w:pPr>
        <w:pStyle w:val="ListParagraph"/>
        <w:numPr>
          <w:ilvl w:val="0"/>
          <w:numId w:val="2"/>
        </w:numPr>
        <w:spacing w:after="100" w:line="264"/>
      </w:pPr>
      <w:r>
        <w:rPr>
          <w:rFonts w:ascii="Arial" w:cs="Arial" w:eastAsia="Arial" w:hAnsi="Arial"/>
          <w:b/>
          <w:bCs/>
          <w:sz w:val="22"/>
          <w:szCs w:val="22"/>
        </w:rPr>
        <w:t xml:space="preserve">Foundry purchase commitments and capacity prepayments. </w:t>
      </w:r>
      <w:r>
        <w:rPr>
          <w:rFonts w:ascii="Arial" w:cs="Arial" w:eastAsia="Arial" w:hAnsi="Arial"/>
          <w:sz w:val="22"/>
          <w:szCs w:val="22"/>
        </w:rPr>
        <w:t xml:space="preserve">Marvell 10-K Note 8 and 10-Q Note 9, quarterly. This is management's own forecast expressed in cash it cannot get back.</w:t>
      </w:r>
    </w:p>
    <w:p>
      <w:pPr>
        <w:pStyle w:val="ListParagraph"/>
        <w:numPr>
          <w:ilvl w:val="0"/>
          <w:numId w:val="2"/>
        </w:numPr>
        <w:spacing w:after="100" w:line="264"/>
      </w:pPr>
      <w:r>
        <w:rPr>
          <w:rFonts w:ascii="Arial" w:cs="Arial" w:eastAsia="Arial" w:hAnsi="Arial"/>
          <w:b/>
          <w:bCs/>
          <w:sz w:val="22"/>
          <w:szCs w:val="22"/>
        </w:rPr>
        <w:t xml:space="preserve">Gross margin against custom mix commentary. </w:t>
      </w:r>
      <w:r>
        <w:rPr>
          <w:rFonts w:ascii="Arial" w:cs="Arial" w:eastAsia="Arial" w:hAnsi="Arial"/>
          <w:sz w:val="22"/>
          <w:szCs w:val="22"/>
        </w:rPr>
        <w:t xml:space="preserve">Marvell MD&amp;A, quarterly. Watch whether "product mix" stays positive as the guided second-half custom ramp arrives, or reverts to an offset.</w:t>
      </w:r>
    </w:p>
    <w:p>
      <w:pPr>
        <w:pStyle w:val="ListParagraph"/>
        <w:numPr>
          <w:ilvl w:val="0"/>
          <w:numId w:val="2"/>
        </w:numPr>
        <w:spacing w:after="100" w:line="264"/>
      </w:pPr>
      <w:r>
        <w:rPr>
          <w:rFonts w:ascii="Arial" w:cs="Arial" w:eastAsia="Arial" w:hAnsi="Arial"/>
          <w:b/>
          <w:bCs/>
          <w:sz w:val="22"/>
          <w:szCs w:val="22"/>
        </w:rPr>
        <w:t xml:space="preserve">Hyperscaler contracted backlog, not capex guidance. </w:t>
      </w:r>
      <w:r>
        <w:rPr>
          <w:rFonts w:ascii="Arial" w:cs="Arial" w:eastAsia="Arial" w:hAnsi="Arial"/>
          <w:sz w:val="22"/>
          <w:szCs w:val="22"/>
        </w:rPr>
        <w:t xml:space="preserve">Alphabet, Microsoft, Amazon, Meta and Oracle quarterly releases. Oracle's remaining performance obligations and Google Cloud's backlog are customer-committed; capex guidance is discretionary and lags.</w:t>
      </w:r>
    </w:p>
    <w:p>
      <w:pPr>
        <w:pStyle w:val="ListParagraph"/>
        <w:numPr>
          <w:ilvl w:val="0"/>
          <w:numId w:val="2"/>
        </w:numPr>
        <w:spacing w:after="100" w:line="264"/>
      </w:pPr>
      <w:r>
        <w:rPr>
          <w:rFonts w:ascii="Arial" w:cs="Arial" w:eastAsia="Arial" w:hAnsi="Arial"/>
          <w:b/>
          <w:bCs/>
          <w:sz w:val="22"/>
          <w:szCs w:val="22"/>
        </w:rPr>
        <w:t xml:space="preserve">TSMC monthly revenue and packaging-capacity commentary. </w:t>
      </w:r>
      <w:r>
        <w:rPr>
          <w:rFonts w:ascii="Arial" w:cs="Arial" w:eastAsia="Arial" w:hAnsi="Arial"/>
          <w:sz w:val="22"/>
          <w:szCs w:val="22"/>
        </w:rPr>
        <w:t xml:space="preserve">TSMC investor site, monthly around the 10th, plus quarterly conference materials. When packaging stops being the bottleneck, allocation stops being a moat.</w:t>
      </w:r>
    </w:p>
    <w:p>
      <w:pPr>
        <w:pStyle w:val="ListParagraph"/>
        <w:numPr>
          <w:ilvl w:val="0"/>
          <w:numId w:val="2"/>
        </w:numPr>
        <w:spacing w:after="100" w:line="264"/>
      </w:pPr>
      <w:r>
        <w:rPr>
          <w:rFonts w:ascii="Arial" w:cs="Arial" w:eastAsia="Arial" w:hAnsi="Arial"/>
          <w:b/>
          <w:bCs/>
          <w:sz w:val="22"/>
          <w:szCs w:val="22"/>
        </w:rPr>
        <w:t xml:space="preserve">Co-packaged and linear optics deployment. </w:t>
      </w:r>
      <w:r>
        <w:rPr>
          <w:rFonts w:ascii="Arial" w:cs="Arial" w:eastAsia="Arial" w:hAnsi="Arial"/>
          <w:sz w:val="22"/>
          <w:szCs w:val="22"/>
        </w:rPr>
        <w:t xml:space="preserve">Broadcom, Nvidia and Cisco newsrooms. A named hyperscaler production deployment of co-packaged optics at scale is the clearest single signal that the standalone DSP socket is compressing.</w:t>
      </w:r>
    </w:p>
    <w:p>
      <w:pPr>
        <w:pStyle w:val="Heading1"/>
        <w:pageBreakBefore/>
        <w:spacing w:after="200" w:before="360"/>
      </w:pPr>
      <w:r>
        <w:rPr>
          <w:rFonts w:ascii="Arial" w:cs="Arial" w:eastAsia="Arial" w:hAnsi="Arial"/>
          <w:b/>
          <w:bCs/>
          <w:color w:val="1F3864"/>
          <w:sz w:val="32"/>
          <w:szCs w:val="32"/>
        </w:rPr>
        <w:t xml:space="preserve">7. Risks, Unknowns and Questions for Deeper Work</w:t>
      </w:r>
    </w:p>
    <w:p>
      <w:pPr>
        <w:spacing w:after="140" w:line="264"/>
      </w:pPr>
      <w:r>
        <w:rPr>
          <w:rFonts w:ascii="Arial" w:cs="Arial" w:eastAsia="Arial" w:hAnsi="Arial"/>
          <w:sz w:val="22"/>
          <w:szCs w:val="22"/>
        </w:rPr>
        <w:t xml:space="preserve">Cyclicality and the supply-commitment asymmetry are covered in Section 6 and are not repeated. What follows is what cyclicality does not capture, ordered by how badly each compounds with the others.</w:t>
      </w:r>
    </w:p>
    <w:p>
      <w:pPr>
        <w:pStyle w:val="ListParagraph"/>
        <w:numPr>
          <w:ilvl w:val="0"/>
          <w:numId w:val="2"/>
        </w:numPr>
        <w:spacing w:after="100" w:line="264"/>
      </w:pPr>
      <w:r>
        <w:rPr>
          <w:rFonts w:ascii="Arial" w:cs="Arial" w:eastAsia="Arial" w:hAnsi="Arial"/>
          <w:b/>
          <w:bCs/>
          <w:sz w:val="22"/>
          <w:szCs w:val="22"/>
        </w:rPr>
        <w:t xml:space="preserve">Concentration and in-housing compound into the same event. </w:t>
      </w:r>
      <w:r>
        <w:rPr>
          <w:rFonts w:ascii="Arial" w:cs="Arial" w:eastAsia="Arial" w:hAnsi="Arial"/>
          <w:sz w:val="22"/>
          <w:szCs w:val="22"/>
        </w:rPr>
        <w:t xml:space="preserve">Two unnamed accounts are 61% of first-half FY2027 revenue and the top ten are 82%, while every major buyer designs accelerators in-house and states a multi-vendor posture. Marvell notes that "some of our customers have chosen to develop certain semiconductor products internally and this trend may continue to proliferate." The mechanism: a customer moving one programme in-house or to a rival removes a double-digit percentage of revenue with no salvage market for the custom parts, no contractual floor (orders are purchase-order-based), and a receivable balance that grew $1,158.2m in fiscal 2026 concentrated in three to five names.</w:t>
      </w:r>
    </w:p>
    <w:p>
      <w:pPr>
        <w:pStyle w:val="ListParagraph"/>
        <w:numPr>
          <w:ilvl w:val="0"/>
          <w:numId w:val="2"/>
        </w:numPr>
        <w:spacing w:after="100" w:line="264"/>
      </w:pPr>
      <w:r>
        <w:rPr>
          <w:rFonts w:ascii="Arial" w:cs="Arial" w:eastAsia="Arial" w:hAnsi="Arial"/>
          <w:b/>
          <w:bCs/>
          <w:sz w:val="22"/>
          <w:szCs w:val="22"/>
        </w:rPr>
        <w:t xml:space="preserve">The Google warrant converts commercial success into shareholder dilution and a revenue haircut. </w:t>
      </w:r>
      <w:r>
        <w:rPr>
          <w:rFonts w:ascii="Arial" w:cs="Arial" w:eastAsia="Arial" w:hAnsi="Arial"/>
          <w:sz w:val="22"/>
          <w:szCs w:val="22"/>
        </w:rPr>
        <w:t xml:space="preserve">Warrant vesting is "recognized as a reduction to revenue as qualifying revenues are recognized." The 58,970,907-share warrant at $206.58 is 6.7% of shares outstanding at 1 August 2026, and it vests precisely as the Google programme ramps. Combined with the smaller existing customer warrants, the Nvidia preferred and the Celestial earn-out, the potential share count is roughly 990m against 847.3m at fiscal 2026 year end. No fair value for the Google warrant has been disclosed anywhere, so the size of the contra-revenue charge is presently unquantifiable from public information.</w:t>
      </w:r>
    </w:p>
    <w:p>
      <w:pPr>
        <w:pStyle w:val="ListParagraph"/>
        <w:numPr>
          <w:ilvl w:val="0"/>
          <w:numId w:val="2"/>
        </w:numPr>
        <w:spacing w:after="100" w:line="264"/>
      </w:pPr>
      <w:r>
        <w:rPr>
          <w:rFonts w:ascii="Arial" w:cs="Arial" w:eastAsia="Arial" w:hAnsi="Arial"/>
          <w:b/>
          <w:bCs/>
          <w:sz w:val="22"/>
          <w:szCs w:val="22"/>
        </w:rPr>
        <w:t xml:space="preserve">The custom-ASIC model may scale revenue faster than profit. </w:t>
      </w:r>
      <w:r>
        <w:rPr>
          <w:rFonts w:ascii="Arial" w:cs="Arial" w:eastAsia="Arial" w:hAnsi="Arial"/>
          <w:sz w:val="22"/>
          <w:szCs w:val="22"/>
        </w:rPr>
        <w:t xml:space="preserve">Marvell states that the ASIC model "tends to have a lower gross margin," that NRE recovery depends on customers agreeing to pay and paying enough, and that operating margin declines "if we are unable to sell products in sufficient volumes to cover the development costs." R&amp;D is running at $741.1m a quarter, up 42.8% year on year, against revenue that arrives six months to three years later and only if the customer's own product sells. Alchip's 34.8% gross margin and 18.7% revenue decline in a boom quarter is the outside evidence for what this model looks like without differentiated IP behind it.</w:t>
      </w:r>
    </w:p>
    <w:p>
      <w:pPr>
        <w:pStyle w:val="ListParagraph"/>
        <w:numPr>
          <w:ilvl w:val="0"/>
          <w:numId w:val="2"/>
        </w:numPr>
        <w:spacing w:after="100" w:line="264"/>
      </w:pPr>
      <w:r>
        <w:rPr>
          <w:rFonts w:ascii="Arial" w:cs="Arial" w:eastAsia="Arial" w:hAnsi="Arial"/>
          <w:b/>
          <w:bCs/>
          <w:sz w:val="22"/>
          <w:szCs w:val="22"/>
        </w:rPr>
        <w:t xml:space="preserve">The Celestial earn-out charges earnings when things go right. </w:t>
      </w:r>
      <w:r>
        <w:rPr>
          <w:rFonts w:ascii="Arial" w:cs="Arial" w:eastAsia="Arial" w:hAnsi="Arial"/>
          <w:sz w:val="22"/>
          <w:szCs w:val="22"/>
        </w:rPr>
        <w:t xml:space="preserve">The contingent consideration is remeasured quarterly through other expense using a Monte Carlo model whose inputs include Marvell's own share price. It went from $315.8m at acquisition to $749.5m at 1 August 2026, costing $433.7m of first-half pre-tax income against a $131.0m gain on a $300m-notional hedge. This is why first-half FY2027 net income fell to $342.5m from $372.7m on 32% revenue growth, and the adjustments are non-deductible, so the tax rate moves with them too.</w:t>
      </w:r>
    </w:p>
    <w:p>
      <w:pPr>
        <w:pStyle w:val="ListParagraph"/>
        <w:numPr>
          <w:ilvl w:val="0"/>
          <w:numId w:val="2"/>
        </w:numPr>
        <w:spacing w:after="100" w:line="264"/>
      </w:pPr>
      <w:r>
        <w:rPr>
          <w:rFonts w:ascii="Arial" w:cs="Arial" w:eastAsia="Arial" w:hAnsi="Arial"/>
          <w:b/>
          <w:bCs/>
          <w:sz w:val="22"/>
          <w:szCs w:val="22"/>
        </w:rPr>
        <w:t xml:space="preserve">Optical DSP displacement removes the margin-protective half of the business. </w:t>
      </w:r>
      <w:r>
        <w:rPr>
          <w:rFonts w:ascii="Arial" w:cs="Arial" w:eastAsia="Arial" w:hAnsi="Arial"/>
          <w:sz w:val="22"/>
          <w:szCs w:val="22"/>
        </w:rPr>
        <w:t xml:space="preserve">Co-packaged and linear optics are shipping from Broadcom, Nvidia and Cisco with claimed power reductions of 50–70%. Interconnect is the high-margin attach that offsets custom-compute dilution; if that content is designed out of the rack, Marvell is left with more of the lower-margin half. Section 3 covers the evidence; the consequence belongs here.</w:t>
      </w:r>
    </w:p>
    <w:p>
      <w:pPr>
        <w:pStyle w:val="ListParagraph"/>
        <w:numPr>
          <w:ilvl w:val="0"/>
          <w:numId w:val="2"/>
        </w:numPr>
        <w:spacing w:after="100" w:line="264"/>
      </w:pPr>
      <w:r>
        <w:rPr>
          <w:rFonts w:ascii="Arial" w:cs="Arial" w:eastAsia="Arial" w:hAnsi="Arial"/>
          <w:b/>
          <w:bCs/>
          <w:sz w:val="22"/>
          <w:szCs w:val="22"/>
        </w:rPr>
        <w:t xml:space="preserve">Goodwill is 50% of total assets against a single reporting unit. </w:t>
      </w:r>
      <w:r>
        <w:rPr>
          <w:rFonts w:ascii="Arial" w:cs="Arial" w:eastAsia="Arial" w:hAnsi="Arial"/>
          <w:sz w:val="22"/>
          <w:szCs w:val="22"/>
        </w:rPr>
        <w:t xml:space="preserve">Goodwill of $13,873.9m plus intangibles of $2,346.6m is 58.9% of the $27,554.6m balance sheet, tested as one unit, with the filing naming "a significant decline in our stock price for a sustained period" as a trigger. There is no segment buffer: a company-wide fair-value decline tests the entire $13.9bn at once. Fiscal 2025 established that Marvell will write assets off when strategy changes — $240.1m of intangibles and $159.0m of technology licences went in one year.</w:t>
      </w:r>
    </w:p>
    <w:p>
      <w:pPr>
        <w:pStyle w:val="ListParagraph"/>
        <w:numPr>
          <w:ilvl w:val="0"/>
          <w:numId w:val="2"/>
        </w:numPr>
        <w:spacing w:after="100" w:line="264"/>
      </w:pPr>
      <w:r>
        <w:rPr>
          <w:rFonts w:ascii="Arial" w:cs="Arial" w:eastAsia="Arial" w:hAnsi="Arial"/>
          <w:b/>
          <w:bCs/>
          <w:sz w:val="22"/>
          <w:szCs w:val="22"/>
        </w:rPr>
        <w:t xml:space="preserve">A China export-licensing revenue share would hit gross margin directly. </w:t>
      </w:r>
      <w:r>
        <w:rPr>
          <w:rFonts w:ascii="Arial" w:cs="Arial" w:eastAsia="Arial" w:hAnsi="Arial"/>
          <w:sz w:val="22"/>
          <w:szCs w:val="22"/>
        </w:rPr>
        <w:t xml:space="preserve">The 10-K names a 15% gross-revenue remittance implied by US government interactions in 2025 and a 25% tariff in the January 2026 BIS licensing policy, states that neither has impacted Marvell, and then gives the mechanism: such revenue sharing "could erode our gross margins, reduce our pricing flexibility, and potentially prompt us to curtail or discontinue sales in China." China ship-to was 42% of June-quarter revenue. The Section 232 semiconductor investigation opened in April 2025 remains unresolved.</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00" w:line="264"/>
      </w:pPr>
      <w:r>
        <w:rPr>
          <w:rFonts w:ascii="Arial" w:cs="Arial" w:eastAsia="Arial" w:hAnsi="Arial"/>
          <w:sz w:val="22"/>
          <w:szCs w:val="22"/>
        </w:rPr>
        <w:t xml:space="preserve">Unit volumes, average selling prices, wafer counts, product-line revenue splits, backlog and book-to-bill — none is disclosed in any filing. There is no way to separate volume from price in the growth.</w:t>
      </w:r>
    </w:p>
    <w:p>
      <w:pPr>
        <w:pStyle w:val="ListParagraph"/>
        <w:numPr>
          <w:ilvl w:val="0"/>
          <w:numId w:val="2"/>
        </w:numPr>
        <w:spacing w:after="100" w:line="264"/>
      </w:pPr>
      <w:r>
        <w:rPr>
          <w:rFonts w:ascii="Arial" w:cs="Arial" w:eastAsia="Arial" w:hAnsi="Arial"/>
          <w:sz w:val="22"/>
          <w:szCs w:val="22"/>
        </w:rPr>
        <w:t xml:space="preserve">The identity of Distributor A and Customer A, together 61% of first-half FY2027 revenue. A March 2026 resale prospectus lists Amazon.com Investment Holdings LLC as holding Marvell warrants exercisable within 60 days, which is circumstantial and does not establish the identity of either account (inferred).</w:t>
      </w:r>
    </w:p>
    <w:p>
      <w:pPr>
        <w:pStyle w:val="ListParagraph"/>
        <w:numPr>
          <w:ilvl w:val="0"/>
          <w:numId w:val="2"/>
        </w:numPr>
        <w:spacing w:after="100" w:line="264"/>
      </w:pPr>
      <w:r>
        <w:rPr>
          <w:rFonts w:ascii="Arial" w:cs="Arial" w:eastAsia="Arial" w:hAnsi="Arial"/>
          <w:sz w:val="22"/>
          <w:szCs w:val="22"/>
        </w:rPr>
        <w:t xml:space="preserve">The fair value of the 58,970,907-share Google warrant, and therefore the scale of the future contra-revenue charge. Expected first in the Q3 FY2027 10-Q.</w:t>
      </w:r>
    </w:p>
    <w:p>
      <w:pPr>
        <w:pStyle w:val="ListParagraph"/>
        <w:numPr>
          <w:ilvl w:val="0"/>
          <w:numId w:val="2"/>
        </w:numPr>
        <w:spacing w:after="100" w:line="264"/>
      </w:pPr>
      <w:r>
        <w:rPr>
          <w:rFonts w:ascii="Arial" w:cs="Arial" w:eastAsia="Arial" w:hAnsi="Arial"/>
          <w:sz w:val="22"/>
          <w:szCs w:val="22"/>
        </w:rPr>
        <w:t xml:space="preserve">Whether Marvell supplies Microsoft's Maia or Meta's MTIA. Both are widely asserted in trade press and are supported by no primary source (unknown). The AWS relationship is confirmed by both parties in a December 2024 release covering custom AI products, optical DSPs, AEC DSPs, PCIe retimers, DCI modules and Ethernet switching, but no accelerator programme is named.</w:t>
      </w:r>
    </w:p>
    <w:p>
      <w:pPr>
        <w:pStyle w:val="ListParagraph"/>
        <w:numPr>
          <w:ilvl w:val="0"/>
          <w:numId w:val="2"/>
        </w:numPr>
        <w:spacing w:after="100" w:line="264"/>
      </w:pPr>
      <w:r>
        <w:rPr>
          <w:rFonts w:ascii="Arial" w:cs="Arial" w:eastAsia="Arial" w:hAnsi="Arial"/>
          <w:sz w:val="22"/>
          <w:szCs w:val="22"/>
        </w:rPr>
        <w:t xml:space="preserve">NRE dollar amounts, milestone schedules, or the split between NRE and production revenue on any custom programme. No individual programme's economics is disclosed.</w:t>
      </w:r>
    </w:p>
    <w:p>
      <w:pPr>
        <w:pStyle w:val="ListParagraph"/>
        <w:numPr>
          <w:ilvl w:val="0"/>
          <w:numId w:val="2"/>
        </w:numPr>
        <w:spacing w:after="100" w:line="264"/>
      </w:pPr>
      <w:r>
        <w:rPr>
          <w:rFonts w:ascii="Arial" w:cs="Arial" w:eastAsia="Arial" w:hAnsi="Arial"/>
          <w:sz w:val="22"/>
          <w:szCs w:val="22"/>
        </w:rPr>
        <w:t xml:space="preserve">Optical DSP market share, from any primary or free independent source. Marvell discloses no market share, TAM or unit-share figure anywhere in its filings.</w:t>
      </w:r>
    </w:p>
    <w:p>
      <w:pPr>
        <w:pStyle w:val="ListParagraph"/>
        <w:numPr>
          <w:ilvl w:val="0"/>
          <w:numId w:val="2"/>
        </w:numPr>
        <w:spacing w:after="100" w:line="264"/>
      </w:pPr>
      <w:r>
        <w:rPr>
          <w:rFonts w:ascii="Arial" w:cs="Arial" w:eastAsia="Arial" w:hAnsi="Arial"/>
          <w:sz w:val="22"/>
          <w:szCs w:val="22"/>
        </w:rPr>
        <w:t xml:space="preserve">Whether previously written-down inventory has since been sold at a margin benefit. The policy note states the mechanism exists; no disclosure quantifies it.</w:t>
      </w:r>
    </w:p>
    <w:p>
      <w:pPr>
        <w:spacing w:after="140" w:line="264"/>
      </w:pPr>
      <w:r>
        <w:rPr>
          <w:rFonts w:ascii="Arial" w:cs="Arial" w:eastAsia="Arial" w:hAnsi="Arial"/>
          <w:sz w:val="22"/>
          <w:szCs w:val="22"/>
        </w:rPr>
        <w:t xml:space="preserve">Before forming a thesis, three of these would need resolving: the identity and stability of Distributor A, the fair value and vesting economics of the Google warrant, and the standalone gross margin of custom compute versus interconnect. Without the third, the central question — whether growth at this mix builds or dilutes economic value — cannot be answered from public information.</w:t>
      </w:r>
    </w:p>
    <w:p>
      <w:pPr>
        <w:pStyle w:val="Heading1"/>
        <w:pageBreakBefore/>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64"/>
      </w:pPr>
      <w:r>
        <w:rPr>
          <w:rFonts w:ascii="Arial" w:cs="Arial" w:eastAsia="Arial" w:hAnsi="Arial"/>
          <w:sz w:val="22"/>
          <w:szCs w:val="22"/>
        </w:rPr>
        <w:t xml:space="preserve">This is a fabless designer that has converted itself into an AI data-centre company in three years, taking that end market from 40% of revenue in fiscal 2024 to 79% in the June-2026 quarter, and selling a higher-margin automotive business to fund the concentration.</w:t>
      </w:r>
    </w:p>
    <w:p>
      <w:pPr>
        <w:pStyle w:val="ListParagraph"/>
        <w:numPr>
          <w:ilvl w:val="0"/>
          <w:numId w:val="2"/>
        </w:numPr>
        <w:spacing w:after="100" w:line="264"/>
      </w:pPr>
      <w:r>
        <w:rPr>
          <w:rFonts w:ascii="Arial" w:cs="Arial" w:eastAsia="Arial" w:hAnsi="Arial"/>
          <w:sz w:val="22"/>
          <w:szCs w:val="22"/>
        </w:rPr>
        <w:t xml:space="preserve">The economic engine is the design-win socket: costs are spent one to three years ahead of revenue, part-recovered through customer NRE, and then earned back over a platform's life — with no salvage market if the platform is cancelled.</w:t>
      </w:r>
    </w:p>
    <w:p>
      <w:pPr>
        <w:pStyle w:val="ListParagraph"/>
        <w:numPr>
          <w:ilvl w:val="0"/>
          <w:numId w:val="2"/>
        </w:numPr>
        <w:spacing w:after="100" w:line="264"/>
      </w:pPr>
      <w:r>
        <w:rPr>
          <w:rFonts w:ascii="Arial" w:cs="Arial" w:eastAsia="Arial" w:hAnsi="Arial"/>
          <w:sz w:val="22"/>
          <w:szCs w:val="22"/>
        </w:rPr>
        <w:t xml:space="preserve">The main growth lever is the named Google custom-silicon agreement of July 2026, alongside interconnect content attach; growth in fiscal 2026 and first-half fiscal 2027 was essentially all organic, which is not true of the company's earlier growth.</w:t>
      </w:r>
    </w:p>
    <w:p>
      <w:pPr>
        <w:pStyle w:val="ListParagraph"/>
        <w:numPr>
          <w:ilvl w:val="0"/>
          <w:numId w:val="2"/>
        </w:numPr>
        <w:spacing w:after="100" w:line="264"/>
      </w:pPr>
      <w:r>
        <w:rPr>
          <w:rFonts w:ascii="Arial" w:cs="Arial" w:eastAsia="Arial" w:hAnsi="Arial"/>
          <w:sz w:val="22"/>
          <w:szCs w:val="22"/>
        </w:rPr>
        <w:t xml:space="preserve">What could break the story is concentration: two unnamed accounts are 61% of revenue, every buyer designs silicon in-house, and $8.5bn of non-cancellable supply commitments sit against orders customers can cancel on short notice.</w:t>
      </w:r>
    </w:p>
    <w:p>
      <w:pPr>
        <w:pStyle w:val="ListParagraph"/>
        <w:numPr>
          <w:ilvl w:val="0"/>
          <w:numId w:val="2"/>
        </w:numPr>
        <w:spacing w:after="100" w:line="264"/>
      </w:pPr>
      <w:r>
        <w:rPr>
          <w:rFonts w:ascii="Arial" w:cs="Arial" w:eastAsia="Arial" w:hAnsi="Arial"/>
          <w:sz w:val="22"/>
          <w:szCs w:val="22"/>
        </w:rPr>
        <w:t xml:space="preserve">Monitor the customer concentration percentages, the purchase-commitment balance, and whether gross margin holds as the guided custom ramp arrives — that last one is where the durability of the whole model gets tested.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64"/>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Marvell Technology, Inc.</dc:title>
  <dc:creator>Business Overview</dc:creator>
  <cp:lastModifiedBy>Un-named</cp:lastModifiedBy>
  <cp:revision>1</cp:revision>
  <dcterms:created xsi:type="dcterms:W3CDTF">2026-09-07T10:25:48.064Z</dcterms:created>
  <dcterms:modified xsi:type="dcterms:W3CDTF">2026-09-07T10:25:48.077Z</dcterms:modified>
</cp:coreProperties>
</file>

<file path=docProps/custom.xml><?xml version="1.0" encoding="utf-8"?>
<Properties xmlns="http://schemas.openxmlformats.org/officeDocument/2006/custom-properties" xmlns:vt="http://schemas.openxmlformats.org/officeDocument/2006/docPropsVTypes"/>
</file>