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i w:val="false"/>
          <w:iCs w:val="false"/>
          <w:sz w:val="18"/>
          <w:szCs w:val="18"/>
        </w:rPr>
        <w:t xml:space="preserve">BULL &amp; BEAR MEMO</w:t>
      </w:r>
    </w:p>
    <w:tbl>
      <w:tblPr>
        <w:tblW w:type="dxa" w:w="9360"/>
        <w:tblBorders>
          <w:top w:val="single" w:color="BFC5CC" w:sz="4"/>
          <w:left w:val="single" w:color="BFC5CC" w:sz="4"/>
          <w:bottom w:val="single" w:color="BFC5CC" w:sz="4"/>
          <w:right w:val="single" w:color="BFC5CC" w:sz="4"/>
          <w:insideH w:val="single" w:color="D8DCE1" w:sz="4"/>
          <w:insideV w:val="single" w:color="D8DCE1" w:sz="4"/>
        </w:tblBorders>
      </w:tblPr>
      <w:tblGrid>
        <w:gridCol w:w="1900"/>
        <w:gridCol w:w="7460"/>
      </w:tblGrid>
      <w:tr>
        <w:trPr>
          <w:tblHeader/>
        </w:trPr>
        <w:tc>
          <w:tcPr>
            <w:tcW w:type="dxa" w:w="190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company</w:t>
            </w:r>
          </w:p>
        </w:tc>
        <w:tc>
          <w:tcPr>
            <w:tcW w:type="dxa" w:w="746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Marvell Technology, Inc. (Nasdaq: MRVL) — fabless data-infrastructure semiconductors; one reportable segment</w:t>
            </w:r>
          </w:p>
        </w:tc>
      </w:tr>
      <w:tr>
        <w:trPr>
          <w:tblHeader w:val="false"/>
        </w:trPr>
        <w:tc>
          <w:tcPr>
            <w:tcW w:type="dxa" w:w="19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sources used</w:t>
            </w:r>
          </w:p>
        </w:tc>
        <w:tc>
          <w:tcPr>
            <w:tcW w:type="dxa" w:w="7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FY2026 Form 10-K (year ended January 31, 2026); Form 10-Q for Q1 FY2027 (quarter ended May 2, 2026) and Q2 FY2027 (quarter ended August 1, 2026); Forms 8-K dated April 15, June 11 and August 19, 2026; FY2022–FY2025 10-Ks for historical comparison</w:t>
            </w:r>
          </w:p>
        </w:tc>
      </w:tr>
      <w:tr>
        <w:trPr>
          <w:tblHeader w:val="false"/>
        </w:trPr>
        <w:tc>
          <w:tcPr>
            <w:tcW w:type="dxa" w:w="19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latest period</w:t>
            </w:r>
          </w:p>
        </w:tc>
        <w:tc>
          <w:tcPr>
            <w:tcW w:type="dxa" w:w="7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fiscal 2027, quarter ended August 1, 2026 (10-Q filed August 28, 2026)</w:t>
            </w:r>
          </w:p>
        </w:tc>
      </w:tr>
      <w:tr>
        <w:trPr>
          <w:tblHeader w:val="false"/>
        </w:trPr>
        <w:tc>
          <w:tcPr>
            <w:tcW w:type="dxa" w:w="19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missing or stale data</w:t>
            </w:r>
          </w:p>
        </w:tc>
        <w:tc>
          <w:tcPr>
            <w:tcW w:type="dxa" w:w="7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No earnings-call transcripts, investor presentations or management guidance in the source folder — the earnings 8-Ks contain only the cover page, not the press-release exhibit, so no forward guidance is used anywhere in this memo. The insider-trading file is empty (header row only). Marvell reports one segment and does not disclose custom-silicon versus merchant revenue, customer names, or any customer below 10%. The grant-date fair value of the August 2026 Google warrant is not in any filing in sources.</w:t>
            </w:r>
          </w:p>
        </w:tc>
      </w:tr>
    </w:tbl>
    <w:p>
      <w:pPr>
        <w:spacing w:after="200" w:line="276"/>
      </w:pPr>
      <w:r>
        <w:rPr>
          <w:rFonts w:ascii="Calibri" w:cs="Calibri" w:eastAsia="Calibri" w:hAnsi="Calibri"/>
          <w:b w:val="false"/>
          <w:bCs w:val="false"/>
          <w:i w:val="false"/>
          <w:iCs w:val="false"/>
          <w:sz w:val="21"/>
          <w:szCs w:val="21"/>
        </w:rPr>
        <w:t xml:space="preserve"/>
      </w:r>
    </w:p>
    <w:p>
      <w:pPr>
        <w:pStyle w:val="Heading1"/>
        <w:spacing w:after="160" w:before="240"/>
      </w:pPr>
      <w:r>
        <w:rPr>
          <w:rFonts w:ascii="Calibri" w:cs="Calibri" w:eastAsia="Calibri" w:hAnsi="Calibri"/>
          <w:b/>
          <w:bCs/>
          <w:color w:val="1A1A1A"/>
          <w:sz w:val="30"/>
          <w:szCs w:val="30"/>
        </w:rPr>
        <w:t xml:space="preserve">Marvell Technology — Bull &amp; Bear Memo</w:t>
      </w:r>
    </w:p>
    <w:p>
      <w:pPr>
        <w:pStyle w:val="Heading2"/>
        <w:spacing w:after="120" w:before="260"/>
      </w:pPr>
      <w:r>
        <w:rPr>
          <w:rFonts w:ascii="Calibri" w:cs="Calibri" w:eastAsia="Calibri" w:hAnsi="Calibri"/>
          <w:b/>
          <w:bCs/>
          <w:color w:val="1A1A1A"/>
          <w:sz w:val="24"/>
          <w:szCs w:val="24"/>
        </w:rPr>
        <w:t xml:space="preserve">1. Business in one line</w:t>
      </w:r>
    </w:p>
    <w:p>
      <w:pPr>
        <w:spacing w:after="140" w:line="276"/>
      </w:pPr>
      <w:r>
        <w:rPr>
          <w:rFonts w:ascii="Calibri" w:cs="Calibri" w:eastAsia="Calibri" w:hAnsi="Calibri"/>
          <w:b w:val="false"/>
          <w:bCs w:val="false"/>
          <w:i w:val="false"/>
          <w:iCs w:val="false"/>
          <w:sz w:val="21"/>
          <w:szCs w:val="21"/>
        </w:rPr>
        <w:t xml:space="preserve">Marvell is a fabless designer of data-infrastructure silicon selling two things into AI data centers: custom accelerators and adjacent silicon built to one hyperscaler’s specification (custom ASICs and XPUs), and merchant connectivity parts — optical DSPs, retimers, co-packaged and linear optics, switching — that attach to racks whichever accelerator wins. It manufactures nothing: TSMC is sole source for all its advanced-node wafers. Net revenue was $8,194.6M in fiscal 2026, 74% data center; Q2 fiscal 2027 revenue was $2,739.3M, 79% data center.</w:t>
      </w:r>
    </w:p>
    <w:p>
      <w:pPr>
        <w:spacing w:after="140" w:line="276"/>
      </w:pPr>
      <w:r>
        <w:rPr>
          <w:rFonts w:ascii="Calibri" w:cs="Calibri" w:eastAsia="Calibri" w:hAnsi="Calibri"/>
          <w:b/>
          <w:bCs/>
          <w:i w:val="false"/>
          <w:iCs w:val="false"/>
          <w:sz w:val="21"/>
          <w:szCs w:val="21"/>
        </w:rPr>
        <w:t xml:space="preserve">Type: fast grower on cyclical bones. </w:t>
      </w:r>
      <w:r>
        <w:rPr>
          <w:rFonts w:ascii="Calibri" w:cs="Calibri" w:eastAsia="Calibri" w:hAnsi="Calibri"/>
          <w:b w:val="false"/>
          <w:bCs w:val="false"/>
          <w:i w:val="false"/>
          <w:iCs w:val="false"/>
          <w:sz w:val="21"/>
          <w:szCs w:val="21"/>
        </w:rPr>
        <w:t xml:space="preserve">Revenue grew 42.1% in fiscal 2026 and 36.5% year over year in Q2 fiscal 2027, but that demand sits inside a capital-spending cycle controlled by a handful of buyers. The classification matters: the bear case here is not slow decay, it is a step function — a socket re-bid and lost, or a capex budget cut.</w:t>
      </w:r>
    </w:p>
    <w:p>
      <w:pPr>
        <w:pStyle w:val="Heading2"/>
        <w:spacing w:after="120" w:before="260"/>
      </w:pPr>
      <w:r>
        <w:rPr>
          <w:rFonts w:ascii="Calibri" w:cs="Calibri" w:eastAsia="Calibri" w:hAnsi="Calibri"/>
          <w:b/>
          <w:bCs/>
          <w:color w:val="1A1A1A"/>
          <w:sz w:val="24"/>
          <w:szCs w:val="24"/>
        </w:rPr>
        <w:t xml:space="preserve">2. Bull case — Peter Lynch pitch</w:t>
      </w:r>
    </w:p>
    <w:p>
      <w:pPr>
        <w:pBdr>
          <w:left w:val="single" w:color="999999" w:sz="12" w:space="12"/>
        </w:pBdr>
        <w:spacing w:after="180" w:before="60" w:line="276"/>
        <w:ind w:left="340"/>
      </w:pPr>
      <w:r>
        <w:rPr>
          <w:rFonts w:ascii="Calibri" w:cs="Calibri" w:eastAsia="Calibri" w:hAnsi="Calibri"/>
          <w:i/>
          <w:iCs/>
          <w:sz w:val="21"/>
          <w:szCs w:val="21"/>
        </w:rPr>
        <w:t xml:space="preserve">The simple reason this stock could work is that several hyperscalers have decided they need someone other than Broadcom to build their custom AI silicon, and they are handing Marvell multi-year programs and helping fund them with their own capital.</w:t>
      </w:r>
    </w:p>
    <w:p>
      <w:pPr>
        <w:pStyle w:val="Heading3"/>
        <w:spacing w:after="90" w:before="200"/>
      </w:pPr>
      <w:r>
        <w:rPr>
          <w:rFonts w:ascii="Calibri" w:cs="Calibri" w:eastAsia="Calibri" w:hAnsi="Calibri"/>
          <w:b/>
          <w:bCs/>
          <w:color w:val="333333"/>
          <w:sz w:val="21"/>
          <w:szCs w:val="21"/>
        </w:rPr>
        <w:t xml:space="preserve">Assumption 1 — Design wins convert into multi-year production programs at more than one hyperscaler</w:t>
      </w:r>
    </w:p>
    <w:p>
      <w:pPr>
        <w:pStyle w:val="ListParagraph"/>
        <w:numPr>
          <w:ilvl w:val="0"/>
          <w:numId w:val="2"/>
        </w:numPr>
        <w:spacing w:after="7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Sockets already won reach volume and are re-won at successive nodes (5nm to 3nm to 2nm to 1.4nm), not merely taped out once.</w:t>
      </w:r>
    </w:p>
    <w:p>
      <w:pPr>
        <w:pStyle w:val="ListParagraph"/>
        <w:numPr>
          <w:ilvl w:val="0"/>
          <w:numId w:val="2"/>
        </w:numPr>
        <w:spacing w:after="7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Its ASIC platform bundles Marvell’s own SerDes, Arm compute, security, silicon photonics, custom HBM and advanced packaging, so the hyperscaler buys an integrated system rather than a design service. The 10-K names Alchip, GUC and Broadcom among competitors; on my read only Broadcom brings a comparable integrated stack rather than design services.</w:t>
      </w:r>
    </w:p>
    <w:p>
      <w:pPr>
        <w:pStyle w:val="ListParagraph"/>
        <w:numPr>
          <w:ilvl w:val="0"/>
          <w:numId w:val="2"/>
        </w:numPr>
        <w:spacing w:after="70" w:line="276"/>
      </w:pPr>
      <w:r>
        <w:rPr>
          <w:rFonts w:ascii="Calibri" w:cs="Calibri" w:eastAsia="Calibri" w:hAnsi="Calibri"/>
          <w:b/>
          <w:bCs/>
          <w:sz w:val="21"/>
          <w:szCs w:val="21"/>
        </w:rPr>
        <w:t xml:space="preserve">Evidence: </w:t>
      </w:r>
      <w:r>
        <w:rPr>
          <w:rFonts w:ascii="Calibri" w:cs="Calibri" w:eastAsia="Calibri" w:hAnsi="Calibri"/>
          <w:sz w:val="21"/>
          <w:szCs w:val="21"/>
        </w:rPr>
        <w:t xml:space="preserve">Data center revenue was $6,100.3M in fiscal 2026, up 46%, and $2,171.5M in Q2 fiscal 2027, up 46% year over year. On July 29, 2026 Marvell and Google entered a commercial agreement spanning custom silicon that attaches to the TPU ecosystem — inference accelerators, storage controllers, network interface controllers, memory interface controllers and near-memory compute (Form 8-K, August 19, 2026). The related warrant vests in 240 tranches, one per $500M of custom-product revenue, so the parties framed a $120B cumulative-revenue ceiling.</w:t>
      </w:r>
    </w:p>
    <w:p>
      <w:pPr>
        <w:pStyle w:val="ListParagraph"/>
        <w:numPr>
          <w:ilvl w:val="0"/>
          <w:numId w:val="2"/>
        </w:numPr>
        <w:spacing w:after="7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Whether custom silicon is ever broken out separately, and the pace at which Google warrant tranches vest — each vested tranche is $500M of revenue actually booked.</w:t>
      </w:r>
    </w:p>
    <w:p>
      <w:pPr>
        <w:pStyle w:val="Heading3"/>
        <w:spacing w:after="90" w:before="200"/>
      </w:pPr>
      <w:r>
        <w:rPr>
          <w:rFonts w:ascii="Calibri" w:cs="Calibri" w:eastAsia="Calibri" w:hAnsi="Calibri"/>
          <w:b/>
          <w:bCs/>
          <w:color w:val="333333"/>
          <w:sz w:val="21"/>
          <w:szCs w:val="21"/>
        </w:rPr>
        <w:t xml:space="preserve">Assumption 2 — The connectivity franchise grows with AI racks regardless of whose accelerator wins</w:t>
      </w:r>
    </w:p>
    <w:p>
      <w:pPr>
        <w:pStyle w:val="ListParagraph"/>
        <w:numPr>
          <w:ilvl w:val="0"/>
          <w:numId w:val="2"/>
        </w:numPr>
        <w:spacing w:after="7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Optical DSPs, retimers, CPO and LPO chipsets and the new scale-up switching (UALink, ESUN, PCIe and CXL) attach per port, so Marvell content grows with bandwidth even where it loses the compute socket.</w:t>
      </w:r>
    </w:p>
    <w:p>
      <w:pPr>
        <w:pStyle w:val="ListParagraph"/>
        <w:numPr>
          <w:ilvl w:val="0"/>
          <w:numId w:val="2"/>
        </w:numPr>
        <w:spacing w:after="7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It already ships PAM and coherent DSPs with matched TIAs, drivers and silicon photonics, and bought the two missing scale-up pieces: Celestial AI’s Photonic Fabric for $3.5B (closed February 2, 2026) and XConn’s PCIe and CXL switches (February 10, 2026).</w:t>
      </w:r>
    </w:p>
    <w:p>
      <w:pPr>
        <w:pStyle w:val="ListParagraph"/>
        <w:numPr>
          <w:ilvl w:val="0"/>
          <w:numId w:val="2"/>
        </w:numPr>
        <w:spacing w:after="70" w:line="276"/>
      </w:pPr>
      <w:r>
        <w:rPr>
          <w:rFonts w:ascii="Calibri" w:cs="Calibri" w:eastAsia="Calibri" w:hAnsi="Calibri"/>
          <w:b/>
          <w:bCs/>
          <w:sz w:val="21"/>
          <w:szCs w:val="21"/>
        </w:rPr>
        <w:t xml:space="preserve">Evidence: </w:t>
      </w:r>
      <w:r>
        <w:rPr>
          <w:rFonts w:ascii="Calibri" w:cs="Calibri" w:eastAsia="Calibri" w:hAnsi="Calibri"/>
          <w:sz w:val="21"/>
          <w:szCs w:val="21"/>
        </w:rPr>
        <w:t xml:space="preserve">FY2026 10-K product description; Q2 FY2027 10-Q Note 4.</w:t>
      </w:r>
    </w:p>
    <w:p>
      <w:pPr>
        <w:pStyle w:val="ListParagraph"/>
        <w:numPr>
          <w:ilvl w:val="0"/>
          <w:numId w:val="2"/>
        </w:numPr>
        <w:spacing w:after="7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Whether gross margin holds as mix shifts toward custom ASICs, which are structurally lower margin than merchant connectivity; and whether Celestial hits the revenue milestones its earnout is written against.</w:t>
      </w:r>
    </w:p>
    <w:p>
      <w:pPr>
        <w:pStyle w:val="Heading3"/>
        <w:spacing w:after="90" w:before="200"/>
      </w:pPr>
      <w:r>
        <w:rPr>
          <w:rFonts w:ascii="Calibri" w:cs="Calibri" w:eastAsia="Calibri" w:hAnsi="Calibri"/>
          <w:b/>
          <w:bCs/>
          <w:color w:val="333333"/>
          <w:sz w:val="21"/>
          <w:szCs w:val="21"/>
        </w:rPr>
        <w:t xml:space="preserve">Assumption 3 — Revenue outgrows R&amp;D, so the model levers</w:t>
      </w:r>
    </w:p>
    <w:p>
      <w:pPr>
        <w:pStyle w:val="ListParagraph"/>
        <w:numPr>
          <w:ilvl w:val="0"/>
          <w:numId w:val="2"/>
        </w:numPr>
        <w:spacing w:after="7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R&amp;D grows more slowly than revenue. It is currently not doing that.</w:t>
      </w:r>
    </w:p>
    <w:p>
      <w:pPr>
        <w:pStyle w:val="ListParagraph"/>
        <w:numPr>
          <w:ilvl w:val="0"/>
          <w:numId w:val="2"/>
        </w:numPr>
        <w:spacing w:after="7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Fixed design teams amortize across a larger revenue base once programs reach volume, and the effect has shown once already: gross margin 41.3% (FY25) to 51.0% (FY26) to 53.1% (Q2 FY27), R&amp;D from 33.9% to 25.3% of revenue.</w:t>
      </w:r>
    </w:p>
    <w:p>
      <w:pPr>
        <w:pStyle w:val="ListParagraph"/>
        <w:numPr>
          <w:ilvl w:val="0"/>
          <w:numId w:val="2"/>
        </w:numPr>
        <w:spacing w:after="70" w:line="276"/>
      </w:pPr>
      <w:r>
        <w:rPr>
          <w:rFonts w:ascii="Calibri" w:cs="Calibri" w:eastAsia="Calibri" w:hAnsi="Calibri"/>
          <w:b/>
          <w:bCs/>
          <w:sz w:val="21"/>
          <w:szCs w:val="21"/>
        </w:rPr>
        <w:t xml:space="preserve">Evidence: </w:t>
      </w:r>
      <w:r>
        <w:rPr>
          <w:rFonts w:ascii="Calibri" w:cs="Calibri" w:eastAsia="Calibri" w:hAnsi="Calibri"/>
          <w:sz w:val="21"/>
          <w:szCs w:val="21"/>
        </w:rPr>
        <w:t xml:space="preserve">FY2026 10-K and Q2 FY2027 10-Q MD&amp;A. But in Q2 fiscal 2027 R&amp;D rose 42.8% year over year against 36.5% revenue growth, taking it back to 27.0% of revenue.</w:t>
      </w:r>
    </w:p>
    <w:p>
      <w:pPr>
        <w:pStyle w:val="ListParagraph"/>
        <w:numPr>
          <w:ilvl w:val="0"/>
          <w:numId w:val="2"/>
        </w:numPr>
        <w:spacing w:after="7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R&amp;D as a percentage of revenue, and operating margin (16.8% in Q2 FY27 against 16.1% for fiscal 2026).</w:t>
      </w:r>
    </w:p>
    <w:p>
      <w:pPr>
        <w:pStyle w:val="Heading3"/>
        <w:spacing w:after="90" w:before="200"/>
      </w:pPr>
      <w:r>
        <w:rPr>
          <w:rFonts w:ascii="Calibri" w:cs="Calibri" w:eastAsia="Calibri" w:hAnsi="Calibri"/>
          <w:b/>
          <w:bCs/>
          <w:color w:val="333333"/>
          <w:sz w:val="21"/>
          <w:szCs w:val="21"/>
        </w:rPr>
        <w:t xml:space="preserve">Assumption 4 — Customers and asset sales, not common shareholders, fund the ramp</w:t>
      </w:r>
    </w:p>
    <w:p>
      <w:pPr>
        <w:pStyle w:val="ListParagraph"/>
        <w:numPr>
          <w:ilvl w:val="0"/>
          <w:numId w:val="2"/>
        </w:numPr>
        <w:spacing w:after="70" w:line="276"/>
      </w:pPr>
      <w:r>
        <w:rPr>
          <w:rFonts w:ascii="Calibri" w:cs="Calibri" w:eastAsia="Calibri" w:hAnsi="Calibri"/>
          <w:b/>
          <w:bCs/>
          <w:sz w:val="21"/>
          <w:szCs w:val="21"/>
        </w:rPr>
        <w:t xml:space="preserve">What must happen: </w:t>
      </w:r>
      <w:r>
        <w:rPr>
          <w:rFonts w:ascii="Calibri" w:cs="Calibri" w:eastAsia="Calibri" w:hAnsi="Calibri"/>
          <w:sz w:val="21"/>
          <w:szCs w:val="21"/>
        </w:rPr>
        <w:t xml:space="preserve">Marvell sustains an R&amp;D budget running near $3B annualized without ordinary equity issuance or leverage stress.</w:t>
      </w:r>
    </w:p>
    <w:p>
      <w:pPr>
        <w:pStyle w:val="ListParagraph"/>
        <w:numPr>
          <w:ilvl w:val="0"/>
          <w:numId w:val="2"/>
        </w:numPr>
        <w:spacing w:after="70" w:line="276"/>
      </w:pPr>
      <w:r>
        <w:rPr>
          <w:rFonts w:ascii="Calibri" w:cs="Calibri" w:eastAsia="Calibri" w:hAnsi="Calibri"/>
          <w:b/>
          <w:bCs/>
          <w:sz w:val="21"/>
          <w:szCs w:val="21"/>
        </w:rPr>
        <w:t xml:space="preserve">Why this company: </w:t>
      </w:r>
      <w:r>
        <w:rPr>
          <w:rFonts w:ascii="Calibri" w:cs="Calibri" w:eastAsia="Calibri" w:hAnsi="Calibri"/>
          <w:sz w:val="21"/>
          <w:szCs w:val="21"/>
        </w:rPr>
        <w:t xml:space="preserve">NVIDIA paid $2.0B for Series A convertible preferred on March 31, 2026 alongside a partnership connecting Marvell custom XPUs to NVIDIA’s AI ecosystem; the automotive ethernet divestiture brought $2.5B of cash; $1.0B of 5.300% notes due 2036 refinanced the 2026 maturity.</w:t>
      </w:r>
    </w:p>
    <w:p>
      <w:pPr>
        <w:pStyle w:val="ListParagraph"/>
        <w:numPr>
          <w:ilvl w:val="0"/>
          <w:numId w:val="2"/>
        </w:numPr>
        <w:spacing w:after="70" w:line="276"/>
      </w:pPr>
      <w:r>
        <w:rPr>
          <w:rFonts w:ascii="Calibri" w:cs="Calibri" w:eastAsia="Calibri" w:hAnsi="Calibri"/>
          <w:b/>
          <w:bCs/>
          <w:sz w:val="21"/>
          <w:szCs w:val="21"/>
        </w:rPr>
        <w:t xml:space="preserve">Evidence: </w:t>
      </w:r>
      <w:r>
        <w:rPr>
          <w:rFonts w:ascii="Calibri" w:cs="Calibri" w:eastAsia="Calibri" w:hAnsi="Calibri"/>
          <w:sz w:val="21"/>
          <w:szCs w:val="21"/>
        </w:rPr>
        <w:t xml:space="preserve">Q2 FY2027 10-Q Notes 7 and 10; FY2026 10-K; Form 8-K, April 15, 2026.</w:t>
      </w:r>
    </w:p>
    <w:p>
      <w:pPr>
        <w:pStyle w:val="ListParagraph"/>
        <w:numPr>
          <w:ilvl w:val="0"/>
          <w:numId w:val="2"/>
        </w:numPr>
        <w:spacing w:after="70" w:line="276"/>
      </w:pPr>
      <w:r>
        <w:rPr>
          <w:rFonts w:ascii="Calibri" w:cs="Calibri" w:eastAsia="Calibri" w:hAnsi="Calibri"/>
          <w:b/>
          <w:bCs/>
          <w:sz w:val="21"/>
          <w:szCs w:val="21"/>
        </w:rPr>
        <w:t xml:space="preserve">What to monitor: </w:t>
      </w:r>
      <w:r>
        <w:rPr>
          <w:rFonts w:ascii="Calibri" w:cs="Calibri" w:eastAsia="Calibri" w:hAnsi="Calibri"/>
          <w:sz w:val="21"/>
          <w:szCs w:val="21"/>
        </w:rPr>
        <w:t xml:space="preserve">Operating cash flow less capital expenditure — $1,244.3M less $282.4M, about $962M in the first half of fiscal 2027 — against $533.8M of stock-based compensation in the same period.</w:t>
      </w:r>
    </w:p>
    <w:p>
      <w:pPr>
        <w:spacing w:after="140" w:line="276"/>
      </w:pPr>
      <w:r>
        <w:rPr>
          <w:rFonts w:ascii="Calibri" w:cs="Calibri" w:eastAsia="Calibri" w:hAnsi="Calibri"/>
          <w:b/>
          <w:bCs/>
          <w:i w:val="false"/>
          <w:iCs w:val="false"/>
          <w:sz w:val="21"/>
          <w:szCs w:val="21"/>
        </w:rPr>
        <w:t xml:space="preserve">Why the market might be missing it: </w:t>
      </w:r>
      <w:r>
        <w:rPr>
          <w:rFonts w:ascii="Calibri" w:cs="Calibri" w:eastAsia="Calibri" w:hAnsi="Calibri"/>
          <w:b w:val="false"/>
          <w:bCs w:val="false"/>
          <w:i w:val="false"/>
          <w:iCs w:val="false"/>
          <w:sz w:val="21"/>
          <w:szCs w:val="21"/>
        </w:rPr>
        <w:t xml:space="preserve">the reported profit line is noisy in both directions. Fiscal 2026 net income of $2,670.1M included a $1.8B pre-tax gain on the automotive ethernet sale, while first-half fiscal 2027 net income of $342.5M absorbed a $433.7M non-cash increase in the fair value of the Celestial earnout. Neither figure describes the operating business, which earned a 16.8% operating margin on $2.7B of revenue last quarter.</w:t>
      </w:r>
    </w:p>
    <w:p>
      <w:pPr>
        <w:pStyle w:val="Heading2"/>
        <w:spacing w:after="120" w:before="260"/>
      </w:pPr>
      <w:r>
        <w:rPr>
          <w:rFonts w:ascii="Calibri" w:cs="Calibri" w:eastAsia="Calibri" w:hAnsi="Calibri"/>
          <w:b/>
          <w:bCs/>
          <w:color w:val="1A1A1A"/>
          <w:sz w:val="24"/>
          <w:szCs w:val="24"/>
        </w:rPr>
        <w:t xml:space="preserve">3. Bear case — Munger invert</w:t>
      </w:r>
    </w:p>
    <w:p>
      <w:pPr>
        <w:pBdr>
          <w:left w:val="single" w:color="999999" w:sz="12" w:space="12"/>
        </w:pBdr>
        <w:spacing w:after="180" w:before="60" w:line="276"/>
        <w:ind w:left="340"/>
      </w:pPr>
      <w:r>
        <w:rPr>
          <w:rFonts w:ascii="Calibri" w:cs="Calibri" w:eastAsia="Calibri" w:hAnsi="Calibri"/>
          <w:i/>
          <w:iCs/>
          <w:sz w:val="21"/>
          <w:szCs w:val="21"/>
        </w:rPr>
        <w:t xml:space="preserve">The most likely way I lose money is that Marvell is renting its growth from four customers who hold every lever — price, volume, second sourcing, and now Marvell’s own equity — and one of them re-bids a socket at the next node.</w:t>
      </w:r>
    </w:p>
    <w:p>
      <w:pPr>
        <w:pStyle w:val="Heading3"/>
        <w:spacing w:after="90" w:before="200"/>
      </w:pPr>
      <w:r>
        <w:rPr>
          <w:rFonts w:ascii="Calibri" w:cs="Calibri" w:eastAsia="Calibri" w:hAnsi="Calibri"/>
          <w:b/>
          <w:bCs/>
          <w:color w:val="333333"/>
          <w:sz w:val="21"/>
          <w:szCs w:val="21"/>
        </w:rPr>
        <w:t xml:space="preserve">Risk 1 — The customer base is not a base, and custom sockets are winner-take-all per program</w:t>
      </w:r>
    </w:p>
    <w:p>
      <w:pPr>
        <w:pStyle w:val="ListParagraph"/>
        <w:numPr>
          <w:ilvl w:val="0"/>
          <w:numId w:val="2"/>
        </w:numPr>
        <w:spacing w:after="70" w:line="276"/>
      </w:pPr>
      <w:r>
        <w:rPr>
          <w:rFonts w:ascii="Calibri" w:cs="Calibri" w:eastAsia="Calibri" w:hAnsi="Calibri"/>
          <w:b/>
          <w:bCs/>
          <w:sz w:val="21"/>
          <w:szCs w:val="21"/>
        </w:rPr>
        <w:t xml:space="preserve">How it fails: </w:t>
      </w:r>
      <w:r>
        <w:rPr>
          <w:rFonts w:ascii="Calibri" w:cs="Calibri" w:eastAsia="Calibri" w:hAnsi="Calibri"/>
          <w:sz w:val="21"/>
          <w:szCs w:val="21"/>
        </w:rPr>
        <w:t xml:space="preserve">One distributor was 44% of net revenue in Q2 fiscal 2027, up from 34% a year earlier; a single direct customer was 16%; the ten largest customers were 82% of fiscal 2026 revenue; four customers were 72% of gross receivables at August 1, 2026. Custom ASIC programs are designed to one specification and re-competed at each node.</w:t>
      </w:r>
    </w:p>
    <w:p>
      <w:pPr>
        <w:pStyle w:val="ListParagraph"/>
        <w:numPr>
          <w:ilvl w:val="0"/>
          <w:numId w:val="2"/>
        </w:numPr>
        <w:spacing w:after="70" w:line="276"/>
      </w:pPr>
      <w:r>
        <w:rPr>
          <w:rFonts w:ascii="Calibri" w:cs="Calibri" w:eastAsia="Calibri" w:hAnsi="Calibri"/>
          <w:b/>
          <w:bCs/>
          <w:sz w:val="21"/>
          <w:szCs w:val="21"/>
        </w:rPr>
        <w:t xml:space="preserve">What confirms failure: </w:t>
      </w:r>
      <w:r>
        <w:rPr>
          <w:rFonts w:ascii="Calibri" w:cs="Calibri" w:eastAsia="Calibri" w:hAnsi="Calibri"/>
          <w:sz w:val="21"/>
          <w:szCs w:val="21"/>
        </w:rPr>
        <w:t xml:space="preserve">Distributor A’s share falling sharply with no replacement customer appearing, or a node transition passing without a follow-on award.</w:t>
      </w:r>
    </w:p>
    <w:p>
      <w:pPr>
        <w:pStyle w:val="ListParagraph"/>
        <w:numPr>
          <w:ilvl w:val="0"/>
          <w:numId w:val="2"/>
        </w:numPr>
        <w:spacing w:after="70" w:line="276"/>
      </w:pPr>
      <w:r>
        <w:rPr>
          <w:rFonts w:ascii="Calibri" w:cs="Calibri" w:eastAsia="Calibri" w:hAnsi="Calibri"/>
          <w:b/>
          <w:bCs/>
          <w:sz w:val="21"/>
          <w:szCs w:val="21"/>
        </w:rPr>
        <w:t xml:space="preserve">Economic damage: </w:t>
      </w:r>
      <w:r>
        <w:rPr>
          <w:rFonts w:ascii="Calibri" w:cs="Calibri" w:eastAsia="Calibri" w:hAnsi="Calibri"/>
          <w:sz w:val="21"/>
          <w:szCs w:val="21"/>
        </w:rPr>
        <w:t xml:space="preserve">The R&amp;D for a lost socket is already spent — 27% of revenue, incurred years before production. Revenue disappears at close to full contribution margin while the cost base does not move.</w:t>
      </w:r>
    </w:p>
    <w:p>
      <w:pPr>
        <w:pStyle w:val="ListParagraph"/>
        <w:numPr>
          <w:ilvl w:val="0"/>
          <w:numId w:val="2"/>
        </w:numPr>
        <w:spacing w:after="7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Permanent for that program. A hyperscaler that moves a workload to a rival’s silicon or in-house does not come back mid-generation.</w:t>
      </w:r>
    </w:p>
    <w:p>
      <w:pPr>
        <w:pStyle w:val="Heading3"/>
        <w:spacing w:after="90" w:before="200"/>
      </w:pPr>
      <w:r>
        <w:rPr>
          <w:rFonts w:ascii="Calibri" w:cs="Calibri" w:eastAsia="Calibri" w:hAnsi="Calibri"/>
          <w:b/>
          <w:bCs/>
          <w:color w:val="333333"/>
          <w:sz w:val="21"/>
          <w:szCs w:val="21"/>
        </w:rPr>
        <w:t xml:space="preserve">Risk 2 — Marvell is buying revenue with its own equity, and the price of doing so rose sharply in August 2026</w:t>
      </w:r>
    </w:p>
    <w:p>
      <w:pPr>
        <w:pStyle w:val="ListParagraph"/>
        <w:numPr>
          <w:ilvl w:val="0"/>
          <w:numId w:val="2"/>
        </w:numPr>
        <w:spacing w:after="70" w:line="276"/>
      </w:pPr>
      <w:r>
        <w:rPr>
          <w:rFonts w:ascii="Calibri" w:cs="Calibri" w:eastAsia="Calibri" w:hAnsi="Calibri"/>
          <w:b/>
          <w:bCs/>
          <w:sz w:val="21"/>
          <w:szCs w:val="21"/>
        </w:rPr>
        <w:t xml:space="preserve">How it fails: </w:t>
      </w:r>
      <w:r>
        <w:rPr>
          <w:rFonts w:ascii="Calibri" w:cs="Calibri" w:eastAsia="Calibri" w:hAnsi="Calibri"/>
          <w:sz w:val="21"/>
          <w:szCs w:val="21"/>
        </w:rPr>
        <w:t xml:space="preserve">Customer warrants are recognized as a reduction of revenue as the qualifying revenue is booked. The fiscal 2025 warrant was 4.2M shares at $87.77, grant-date fair value $227.6M. The warrant issued August 18, 2026 is up to 58,970,907 shares at $206.58 — about 6.6% of the 897.4M weighted-average shares outstanding last quarter, and roughly fourteen times the earlier one. Each $500M of Google custom-product revenue vests a tranche of about 240,000 shares.</w:t>
      </w:r>
    </w:p>
    <w:p>
      <w:pPr>
        <w:pStyle w:val="ListParagraph"/>
        <w:numPr>
          <w:ilvl w:val="0"/>
          <w:numId w:val="2"/>
        </w:numPr>
        <w:spacing w:after="70" w:line="276"/>
      </w:pPr>
      <w:r>
        <w:rPr>
          <w:rFonts w:ascii="Calibri" w:cs="Calibri" w:eastAsia="Calibri" w:hAnsi="Calibri"/>
          <w:b/>
          <w:bCs/>
          <w:sz w:val="21"/>
          <w:szCs w:val="21"/>
        </w:rPr>
        <w:t xml:space="preserve">What confirms failure: </w:t>
      </w:r>
      <w:r>
        <w:rPr>
          <w:rFonts w:ascii="Calibri" w:cs="Calibri" w:eastAsia="Calibri" w:hAnsi="Calibri"/>
          <w:sz w:val="21"/>
          <w:szCs w:val="21"/>
        </w:rPr>
        <w:t xml:space="preserve">Reported revenue growth diverging from cash generation, and the warrant’s grant-date fair value — due in the Q3 fiscal 2027 10-Q — coming in large relative to the revenue it is attached to.</w:t>
      </w:r>
    </w:p>
    <w:p>
      <w:pPr>
        <w:pStyle w:val="ListParagraph"/>
        <w:numPr>
          <w:ilvl w:val="0"/>
          <w:numId w:val="2"/>
        </w:numPr>
        <w:spacing w:after="70" w:line="276"/>
      </w:pPr>
      <w:r>
        <w:rPr>
          <w:rFonts w:ascii="Calibri" w:cs="Calibri" w:eastAsia="Calibri" w:hAnsi="Calibri"/>
          <w:b/>
          <w:bCs/>
          <w:sz w:val="21"/>
          <w:szCs w:val="21"/>
        </w:rPr>
        <w:t xml:space="preserve">Economic damage: </w:t>
      </w:r>
      <w:r>
        <w:rPr>
          <w:rFonts w:ascii="Calibri" w:cs="Calibri" w:eastAsia="Calibri" w:hAnsi="Calibri"/>
          <w:sz w:val="21"/>
          <w:szCs w:val="21"/>
        </w:rPr>
        <w:t xml:space="preserve">Whatever the accounting treatment, the economic content is that a slice of the AI revenue stream is being handed back to the customer in equity. Headline growth then overstates the growth in value per common share.</w:t>
      </w:r>
    </w:p>
    <w:p>
      <w:pPr>
        <w:pStyle w:val="ListParagraph"/>
        <w:numPr>
          <w:ilvl w:val="0"/>
          <w:numId w:val="2"/>
        </w:numPr>
        <w:spacing w:after="7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Permanent as to shares already committed. The terms of the next such agreement are what to watch.</w:t>
      </w:r>
    </w:p>
    <w:p>
      <w:pPr>
        <w:pStyle w:val="Heading3"/>
        <w:spacing w:after="90" w:before="200"/>
      </w:pPr>
      <w:r>
        <w:rPr>
          <w:rFonts w:ascii="Calibri" w:cs="Calibri" w:eastAsia="Calibri" w:hAnsi="Calibri"/>
          <w:b/>
          <w:bCs/>
          <w:color w:val="333333"/>
          <w:sz w:val="21"/>
          <w:szCs w:val="21"/>
        </w:rPr>
        <w:t xml:space="preserve">Risk 3 — Fixed supply obligations against concentrated, cancellable demand</w:t>
      </w:r>
    </w:p>
    <w:p>
      <w:pPr>
        <w:pStyle w:val="ListParagraph"/>
        <w:numPr>
          <w:ilvl w:val="0"/>
          <w:numId w:val="2"/>
        </w:numPr>
        <w:spacing w:after="70" w:line="276"/>
      </w:pPr>
      <w:r>
        <w:rPr>
          <w:rFonts w:ascii="Calibri" w:cs="Calibri" w:eastAsia="Calibri" w:hAnsi="Calibri"/>
          <w:b/>
          <w:bCs/>
          <w:sz w:val="21"/>
          <w:szCs w:val="21"/>
        </w:rPr>
        <w:t xml:space="preserve">How it fails: </w:t>
      </w:r>
      <w:r>
        <w:rPr>
          <w:rFonts w:ascii="Calibri" w:cs="Calibri" w:eastAsia="Calibri" w:hAnsi="Calibri"/>
          <w:sz w:val="21"/>
          <w:szCs w:val="21"/>
        </w:rPr>
        <w:t xml:space="preserve">At August 1, 2026 Marvell had $8,518.9M of unconditional purchase commitments — $1,829.3M for the remainder of fiscal 2027 and roughly $2.1B to $2.2B in each of fiscal 2028, 2029 and 2030 — plus $487.0M of prepayments on supply capacity reservation agreements and $351.6M of capital-expenditure commitments. The TSMC capacity reservation requires purchasing target wafer quantities or forfeiting a proportional share of the advance payments.</w:t>
      </w:r>
    </w:p>
    <w:p>
      <w:pPr>
        <w:pStyle w:val="ListParagraph"/>
        <w:numPr>
          <w:ilvl w:val="0"/>
          <w:numId w:val="2"/>
        </w:numPr>
        <w:spacing w:after="70" w:line="276"/>
      </w:pPr>
      <w:r>
        <w:rPr>
          <w:rFonts w:ascii="Calibri" w:cs="Calibri" w:eastAsia="Calibri" w:hAnsi="Calibri"/>
          <w:b/>
          <w:bCs/>
          <w:sz w:val="21"/>
          <w:szCs w:val="21"/>
        </w:rPr>
        <w:t xml:space="preserve">What confirms failure: </w:t>
      </w:r>
      <w:r>
        <w:rPr>
          <w:rFonts w:ascii="Calibri" w:cs="Calibri" w:eastAsia="Calibri" w:hAnsi="Calibri"/>
          <w:sz w:val="21"/>
          <w:szCs w:val="21"/>
        </w:rPr>
        <w:t xml:space="preserve">Inventory rising faster than revenue, prepayments written off, or gross margin falling while revenue is still growing.</w:t>
      </w:r>
    </w:p>
    <w:p>
      <w:pPr>
        <w:pStyle w:val="ListParagraph"/>
        <w:numPr>
          <w:ilvl w:val="0"/>
          <w:numId w:val="2"/>
        </w:numPr>
        <w:spacing w:after="70" w:line="276"/>
      </w:pPr>
      <w:r>
        <w:rPr>
          <w:rFonts w:ascii="Calibri" w:cs="Calibri" w:eastAsia="Calibri" w:hAnsi="Calibri"/>
          <w:b/>
          <w:bCs/>
          <w:sz w:val="21"/>
          <w:szCs w:val="21"/>
        </w:rPr>
        <w:t xml:space="preserve">Economic damage: </w:t>
      </w:r>
      <w:r>
        <w:rPr>
          <w:rFonts w:ascii="Calibri" w:cs="Calibri" w:eastAsia="Calibri" w:hAnsi="Calibri"/>
          <w:sz w:val="21"/>
          <w:szCs w:val="21"/>
        </w:rPr>
        <w:t xml:space="preserve">This converts a fabless model’s supposedly variable cost structure into a fixed one for three to four years. A hyperscaler order deferral removes the revenue and leaves the wafer bill.</w:t>
      </w:r>
    </w:p>
    <w:p>
      <w:pPr>
        <w:pStyle w:val="ListParagraph"/>
        <w:numPr>
          <w:ilvl w:val="0"/>
          <w:numId w:val="2"/>
        </w:numPr>
        <w:spacing w:after="7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Fixable across a cycle, severe inside one.</w:t>
      </w:r>
    </w:p>
    <w:p>
      <w:pPr>
        <w:pStyle w:val="Heading3"/>
        <w:spacing w:after="90" w:before="200"/>
      </w:pPr>
      <w:r>
        <w:rPr>
          <w:rFonts w:ascii="Calibri" w:cs="Calibri" w:eastAsia="Calibri" w:hAnsi="Calibri"/>
          <w:b/>
          <w:bCs/>
          <w:color w:val="333333"/>
          <w:sz w:val="21"/>
          <w:szCs w:val="21"/>
        </w:rPr>
        <w:t xml:space="preserve">Risk 4 — The competitor and the customer are the same people</w:t>
      </w:r>
    </w:p>
    <w:p>
      <w:pPr>
        <w:pStyle w:val="ListParagraph"/>
        <w:numPr>
          <w:ilvl w:val="0"/>
          <w:numId w:val="2"/>
        </w:numPr>
        <w:spacing w:after="70" w:line="276"/>
      </w:pPr>
      <w:r>
        <w:rPr>
          <w:rFonts w:ascii="Calibri" w:cs="Calibri" w:eastAsia="Calibri" w:hAnsi="Calibri"/>
          <w:b/>
          <w:bCs/>
          <w:sz w:val="21"/>
          <w:szCs w:val="21"/>
        </w:rPr>
        <w:t xml:space="preserve">How it fails: </w:t>
      </w:r>
      <w:r>
        <w:rPr>
          <w:rFonts w:ascii="Calibri" w:cs="Calibri" w:eastAsia="Calibri" w:hAnsi="Calibri"/>
          <w:sz w:val="21"/>
          <w:szCs w:val="21"/>
        </w:rPr>
        <w:t xml:space="preserve">The FY2026 10-K names Broadcom, AMD, NVIDIA, Alchip, GUC, Astera Labs and Credo as direct competitors, says some customers have chosen to develop semiconductor products internally and the trend may continue, and says average selling prices will remain under significant pricing pressure.</w:t>
      </w:r>
    </w:p>
    <w:p>
      <w:pPr>
        <w:pStyle w:val="ListParagraph"/>
        <w:numPr>
          <w:ilvl w:val="0"/>
          <w:numId w:val="2"/>
        </w:numPr>
        <w:spacing w:after="70" w:line="276"/>
      </w:pPr>
      <w:r>
        <w:rPr>
          <w:rFonts w:ascii="Calibri" w:cs="Calibri" w:eastAsia="Calibri" w:hAnsi="Calibri"/>
          <w:b/>
          <w:bCs/>
          <w:sz w:val="21"/>
          <w:szCs w:val="21"/>
        </w:rPr>
        <w:t xml:space="preserve">What confirms failure: </w:t>
      </w:r>
      <w:r>
        <w:rPr>
          <w:rFonts w:ascii="Calibri" w:cs="Calibri" w:eastAsia="Calibri" w:hAnsi="Calibri"/>
          <w:sz w:val="21"/>
          <w:szCs w:val="21"/>
        </w:rPr>
        <w:t xml:space="preserve">Gross margin declining while data center revenue still grows — the signature of buying volume with price.</w:t>
      </w:r>
    </w:p>
    <w:p>
      <w:pPr>
        <w:pStyle w:val="ListParagraph"/>
        <w:numPr>
          <w:ilvl w:val="0"/>
          <w:numId w:val="2"/>
        </w:numPr>
        <w:spacing w:after="70" w:line="276"/>
      </w:pPr>
      <w:r>
        <w:rPr>
          <w:rFonts w:ascii="Calibri" w:cs="Calibri" w:eastAsia="Calibri" w:hAnsi="Calibri"/>
          <w:b/>
          <w:bCs/>
          <w:sz w:val="21"/>
          <w:szCs w:val="21"/>
        </w:rPr>
        <w:t xml:space="preserve">Economic damage: </w:t>
      </w:r>
      <w:r>
        <w:rPr>
          <w:rFonts w:ascii="Calibri" w:cs="Calibri" w:eastAsia="Calibri" w:hAnsi="Calibri"/>
          <w:sz w:val="21"/>
          <w:szCs w:val="21"/>
        </w:rPr>
        <w:t xml:space="preserve">In custom silicon the customer knows the cost structure, funds the engineering, and owns the alternative. Pricing power is contractual rather than structural, so it resets at every re-bid.</w:t>
      </w:r>
    </w:p>
    <w:p>
      <w:pPr>
        <w:pStyle w:val="ListParagraph"/>
        <w:numPr>
          <w:ilvl w:val="0"/>
          <w:numId w:val="2"/>
        </w:numPr>
        <w:spacing w:after="7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Structural to the business model.</w:t>
      </w:r>
    </w:p>
    <w:p>
      <w:pPr>
        <w:pStyle w:val="Heading3"/>
        <w:spacing w:after="90" w:before="200"/>
      </w:pPr>
      <w:r>
        <w:rPr>
          <w:rFonts w:ascii="Calibri" w:cs="Calibri" w:eastAsia="Calibri" w:hAnsi="Calibri"/>
          <w:b/>
          <w:bCs/>
          <w:color w:val="333333"/>
          <w:sz w:val="21"/>
          <w:szCs w:val="21"/>
        </w:rPr>
        <w:t xml:space="preserve">Risk 5 — The balance sheet is mostly goodwill, and it is tested against the share price</w:t>
      </w:r>
    </w:p>
    <w:p>
      <w:pPr>
        <w:pStyle w:val="ListParagraph"/>
        <w:numPr>
          <w:ilvl w:val="0"/>
          <w:numId w:val="2"/>
        </w:numPr>
        <w:spacing w:after="70" w:line="276"/>
      </w:pPr>
      <w:r>
        <w:rPr>
          <w:rFonts w:ascii="Calibri" w:cs="Calibri" w:eastAsia="Calibri" w:hAnsi="Calibri"/>
          <w:b/>
          <w:bCs/>
          <w:sz w:val="21"/>
          <w:szCs w:val="21"/>
        </w:rPr>
        <w:t xml:space="preserve">How it fails: </w:t>
      </w:r>
      <w:r>
        <w:rPr>
          <w:rFonts w:ascii="Calibri" w:cs="Calibri" w:eastAsia="Calibri" w:hAnsi="Calibri"/>
          <w:sz w:val="21"/>
          <w:szCs w:val="21"/>
        </w:rPr>
        <w:t xml:space="preserve">Goodwill was $13,873.9M and acquired intangibles $2,346.6M at August 1, 2026 against $18,531.6M of equity — roughly $2.3B of tangible equity against $4,962.9M of long-term debt. Goodwill is tested as a single reporting unit whose fair value is derived from Marvell’s own market capitalization.</w:t>
      </w:r>
    </w:p>
    <w:p>
      <w:pPr>
        <w:pStyle w:val="ListParagraph"/>
        <w:numPr>
          <w:ilvl w:val="0"/>
          <w:numId w:val="2"/>
        </w:numPr>
        <w:spacing w:after="70" w:line="276"/>
      </w:pPr>
      <w:r>
        <w:rPr>
          <w:rFonts w:ascii="Calibri" w:cs="Calibri" w:eastAsia="Calibri" w:hAnsi="Calibri"/>
          <w:b/>
          <w:bCs/>
          <w:sz w:val="21"/>
          <w:szCs w:val="21"/>
        </w:rPr>
        <w:t xml:space="preserve">What confirms failure: </w:t>
      </w:r>
      <w:r>
        <w:rPr>
          <w:rFonts w:ascii="Calibri" w:cs="Calibri" w:eastAsia="Calibri" w:hAnsi="Calibri"/>
          <w:sz w:val="21"/>
          <w:szCs w:val="21"/>
        </w:rPr>
        <w:t xml:space="preserve">A sustained decline in the share price, or the Celestial contingent consideration reversing rather than accreting.</w:t>
      </w:r>
    </w:p>
    <w:p>
      <w:pPr>
        <w:pStyle w:val="ListParagraph"/>
        <w:numPr>
          <w:ilvl w:val="0"/>
          <w:numId w:val="2"/>
        </w:numPr>
        <w:spacing w:after="70" w:line="276"/>
      </w:pPr>
      <w:r>
        <w:rPr>
          <w:rFonts w:ascii="Calibri" w:cs="Calibri" w:eastAsia="Calibri" w:hAnsi="Calibri"/>
          <w:b/>
          <w:bCs/>
          <w:sz w:val="21"/>
          <w:szCs w:val="21"/>
        </w:rPr>
        <w:t xml:space="preserve">Economic damage: </w:t>
      </w:r>
      <w:r>
        <w:rPr>
          <w:rFonts w:ascii="Calibri" w:cs="Calibri" w:eastAsia="Calibri" w:hAnsi="Calibri"/>
          <w:sz w:val="21"/>
          <w:szCs w:val="21"/>
        </w:rPr>
        <w:t xml:space="preserve">An impairment consumes no cash, but the re-rating and the write-down arrive together, and the write-down confirms the acquisitions were overpriced.</w:t>
      </w:r>
    </w:p>
    <w:p>
      <w:pPr>
        <w:pStyle w:val="ListParagraph"/>
        <w:numPr>
          <w:ilvl w:val="0"/>
          <w:numId w:val="2"/>
        </w:numPr>
        <w:spacing w:after="70" w:line="276"/>
      </w:pPr>
      <w:r>
        <w:rPr>
          <w:rFonts w:ascii="Calibri" w:cs="Calibri" w:eastAsia="Calibri" w:hAnsi="Calibri"/>
          <w:b/>
          <w:bCs/>
          <w:sz w:val="21"/>
          <w:szCs w:val="21"/>
        </w:rPr>
        <w:t xml:space="preserve">Permanent or fixable: </w:t>
      </w:r>
      <w:r>
        <w:rPr>
          <w:rFonts w:ascii="Calibri" w:cs="Calibri" w:eastAsia="Calibri" w:hAnsi="Calibri"/>
          <w:sz w:val="21"/>
          <w:szCs w:val="21"/>
        </w:rPr>
        <w:t xml:space="preserve">Non-cash as an event, permanent as an admission.</w:t>
      </w:r>
    </w:p>
    <w:p>
      <w:pPr>
        <w:pStyle w:val="Heading3"/>
        <w:spacing w:after="90" w:before="200"/>
      </w:pPr>
      <w:r>
        <w:rPr>
          <w:rFonts w:ascii="Calibri" w:cs="Calibri" w:eastAsia="Calibri" w:hAnsi="Calibri"/>
          <w:b/>
          <w:bCs/>
          <w:color w:val="333333"/>
          <w:sz w:val="21"/>
          <w:szCs w:val="21"/>
        </w:rPr>
        <w:t xml:space="preserve">Risk 6 — The non-AI half has stopped helping</w:t>
      </w:r>
    </w:p>
    <w:p>
      <w:pPr>
        <w:spacing w:after="140" w:line="276"/>
      </w:pPr>
      <w:r>
        <w:rPr>
          <w:rFonts w:ascii="Calibri" w:cs="Calibri" w:eastAsia="Calibri" w:hAnsi="Calibri"/>
          <w:b w:val="false"/>
          <w:bCs w:val="false"/>
          <w:i w:val="false"/>
          <w:iCs w:val="false"/>
          <w:sz w:val="21"/>
          <w:szCs w:val="21"/>
        </w:rPr>
        <w:t xml:space="preserve">Communications and other grew 10% year over year in Q2 fiscal 2027 to $567.8M, against 46% for data center. Fiscal 2024 revenue was 60% communications; that mix is gone, part of it divested with automotive ethernet in August 2025. There is no second engine to cushion an AI air pocket.</w:t>
      </w:r>
    </w:p>
    <w:p>
      <w:pPr>
        <w:pStyle w:val="Heading2"/>
        <w:spacing w:after="120" w:before="260"/>
      </w:pPr>
      <w:r>
        <w:rPr>
          <w:rFonts w:ascii="Calibri" w:cs="Calibri" w:eastAsia="Calibri" w:hAnsi="Calibri"/>
          <w:b/>
          <w:bCs/>
          <w:color w:val="1A1A1A"/>
          <w:sz w:val="24"/>
          <w:szCs w:val="24"/>
        </w:rPr>
        <w:t xml:space="preserve">4. Signals to monitor</w:t>
      </w:r>
    </w:p>
    <w:tbl>
      <w:tblPr>
        <w:tblW w:type="dxa" w:w="9360"/>
        <w:tblBorders>
          <w:top w:val="single" w:color="BFC5CC" w:sz="4"/>
          <w:left w:val="single" w:color="BFC5CC" w:sz="4"/>
          <w:bottom w:val="single" w:color="BFC5CC" w:sz="4"/>
          <w:right w:val="single" w:color="BFC5CC" w:sz="4"/>
          <w:insideH w:val="single" w:color="D8DCE1" w:sz="4"/>
          <w:insideV w:val="single" w:color="D8DCE1" w:sz="4"/>
        </w:tblBorders>
      </w:tblPr>
      <w:tblGrid>
        <w:gridCol w:w="2500"/>
        <w:gridCol w:w="1900"/>
        <w:gridCol w:w="1500"/>
        <w:gridCol w:w="3460"/>
      </w:tblGrid>
      <w:tr>
        <w:trPr>
          <w:tblHeader/>
        </w:trPr>
        <w:tc>
          <w:tcPr>
            <w:tcW w:type="dxa" w:w="250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Signal</w:t>
            </w:r>
          </w:p>
        </w:tc>
        <w:tc>
          <w:tcPr>
            <w:tcW w:type="dxa" w:w="190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Current value</w:t>
            </w:r>
          </w:p>
        </w:tc>
        <w:tc>
          <w:tcPr>
            <w:tcW w:type="dxa" w:w="150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Source</w:t>
            </w:r>
          </w:p>
        </w:tc>
        <w:tc>
          <w:tcPr>
            <w:tcW w:type="dxa" w:w="3460"/>
            <w:shd w:fill="EDEFF2"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Direction that matters</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Distributor A share of net revenue — tracks Bear 1</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44% (Q2 FY27) vs 34% (Q2 FY26)</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MD&amp;A</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Rising = concentration compounding; a sharp fall with no replacement = socket lost</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Data center revenue, year over year — tracks Bull 1 and 2</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$2,171.5M, +46%</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Note 3</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Deceleration toward the low twenties questions whether programs are ramping</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Gross margin — tracks Bull 3, Bear 4</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53.1% vs 50.4%</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MD&amp;A</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Falling while data center revenue still grows = volume bought with price</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R&amp;D as % of net revenue — tracks Bull 3</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27.0% vs 25.9%</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MD&amp;A</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Must fall below the FY26 level for the operating leverage claim to hold</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Customer warrant shares vested — tracks Bull 1, Bear 2</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1.2M of 4.2M (FY2025 warrant); 0 of 58,970,907 (Google)</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Notes 4 and 15</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Vesting confirms revenue milestones and simultaneously moves equity to the customer</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Unconditional purchase commitments — tracks Bear 3</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$8,518.9M total; $1,829.3M due in the rest of FY27</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Note 9</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Rising into a demand slowdown is the dangerous combination</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Communications and other, year over year — tracks Bear 6</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$567.8M, +10%</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10-Q, Note 3</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Sustained single digits means no cushion against an AI air pocket</w:t>
            </w:r>
          </w:p>
        </w:tc>
      </w:tr>
      <w:tr>
        <w:trPr>
          <w:tblHeader w:val="false"/>
        </w:trPr>
        <w:tc>
          <w:tcPr>
            <w:tcW w:type="dxa" w:w="2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Goodwill against total equity — tracks Bear 5</w:t>
            </w:r>
          </w:p>
        </w:tc>
        <w:tc>
          <w:tcPr>
            <w:tcW w:type="dxa" w:w="1900"/>
            <w:tcMar>
              <w:top w:type="dxa" w:w="70"/>
              <w:left w:type="dxa" w:w="110"/>
              <w:bottom w:type="dxa" w:w="70"/>
              <w:right w:type="dxa" w:w="110"/>
            </w:tcMar>
          </w:tcPr>
          <w:p>
            <w:pPr>
              <w:spacing w:after="0" w:line="260"/>
              <w:jc w:val="right"/>
            </w:pPr>
            <w:r>
              <w:rPr>
                <w:rFonts w:ascii="Calibri" w:cs="Calibri" w:eastAsia="Calibri" w:hAnsi="Calibri"/>
                <w:b w:val="false"/>
                <w:bCs w:val="false"/>
                <w:sz w:val="19"/>
                <w:szCs w:val="19"/>
              </w:rPr>
              <w:t xml:space="preserve">$13,873.9M goodwill vs $18,531.6M equity</w:t>
            </w:r>
          </w:p>
        </w:tc>
        <w:tc>
          <w:tcPr>
            <w:tcW w:type="dxa" w:w="150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Q2 FY27 balance sheet</w:t>
            </w:r>
          </w:p>
        </w:tc>
        <w:tc>
          <w:tcPr>
            <w:tcW w:type="dxa" w:w="3460"/>
            <w:tcMar>
              <w:top w:type="dxa" w:w="70"/>
              <w:left w:type="dxa" w:w="110"/>
              <w:bottom w:type="dxa" w:w="70"/>
              <w:right w:type="dxa" w:w="110"/>
            </w:tcMar>
          </w:tcPr>
          <w:p>
            <w:pPr>
              <w:spacing w:after="0" w:line="260"/>
            </w:pPr>
            <w:r>
              <w:rPr>
                <w:rFonts w:ascii="Calibri" w:cs="Calibri" w:eastAsia="Calibri" w:hAnsi="Calibri"/>
                <w:b w:val="false"/>
                <w:bCs w:val="false"/>
                <w:sz w:val="19"/>
                <w:szCs w:val="19"/>
              </w:rPr>
              <w:t xml:space="preserve">Sustained share-price decline triggers the single-reporting-unit test</w:t>
            </w:r>
          </w:p>
        </w:tc>
      </w:tr>
    </w:tbl>
    <w:p>
      <w:pPr>
        <w:spacing w:after="160" w:line="276"/>
      </w:pPr>
      <w:r>
        <w:rPr>
          <w:rFonts w:ascii="Calibri" w:cs="Calibri" w:eastAsia="Calibri" w:hAnsi="Calibri"/>
          <w:b w:val="false"/>
          <w:bCs w:val="false"/>
          <w:i w:val="false"/>
          <w:iCs w:val="false"/>
          <w:sz w:val="21"/>
          <w:szCs w:val="21"/>
        </w:rPr>
        <w:t xml:space="preserve"/>
      </w:r>
    </w:p>
    <w:p>
      <w:pPr>
        <w:pStyle w:val="Heading2"/>
        <w:spacing w:after="120" w:before="260"/>
      </w:pPr>
      <w:r>
        <w:rPr>
          <w:rFonts w:ascii="Calibri" w:cs="Calibri" w:eastAsia="Calibri" w:hAnsi="Calibri"/>
          <w:b/>
          <w:bCs/>
          <w:color w:val="1A1A1A"/>
          <w:sz w:val="24"/>
          <w:szCs w:val="24"/>
        </w:rPr>
        <w:t xml:space="preserve">6. Bottom line</w:t>
      </w:r>
    </w:p>
    <w:p>
      <w:pPr>
        <w:spacing w:after="140" w:line="276"/>
      </w:pPr>
      <w:r>
        <w:rPr>
          <w:rFonts w:ascii="Calibri" w:cs="Calibri" w:eastAsia="Calibri" w:hAnsi="Calibri"/>
          <w:b w:val="false"/>
          <w:bCs w:val="false"/>
          <w:i w:val="false"/>
          <w:iCs w:val="false"/>
          <w:sz w:val="21"/>
          <w:szCs w:val="21"/>
        </w:rPr>
        <w:t xml:space="preserve">Marvell could work because several hyperscalers now need a credible second source for custom AI silicon and are committing multi-year programs, and in NVIDIA’s case $2.0B of capital, to build one. For that to pay, the sockets already won have to reach volume and be re-won at 2nm while R&amp;D falls back below the 25.3% of revenue it reached in fiscal 2026. The thesis most likely breaks not through slow erosion but through a single re-bid lost at a customer that is currently 44% of revenue, against $8.5B of wafer commitments that do not disappear with the order. I would change my mind if gross margin fell while data center revenue was still growing — evidence the volume is being bought with price — or, on the other side, if Marvell began disclosing custom-silicon revenue separately and it compounded across more than one named customer.</w:t>
      </w:r>
    </w:p>
    <w:p>
      <w:pPr>
        <w:spacing w:after="200" w:line="276"/>
      </w:pPr>
      <w:r>
        <w:rPr>
          <w:rFonts w:ascii="Calibri" w:cs="Calibri" w:eastAsia="Calibri" w:hAnsi="Calibri"/>
          <w:b w:val="false"/>
          <w:bCs w:val="false"/>
          <w:i w:val="false"/>
          <w:iCs w:val="false"/>
          <w:sz w:val="21"/>
          <w:szCs w:val="21"/>
        </w:rPr>
        <w:t xml:space="preserve"/>
      </w:r>
    </w:p>
    <w:p>
      <w:pPr>
        <w:spacing w:after="140" w:line="276"/>
      </w:pPr>
      <w:r>
        <w:rPr>
          <w:rFonts w:ascii="Calibri" w:cs="Calibri" w:eastAsia="Calibri" w:hAnsi="Calibri"/>
          <w:b w:val="false"/>
          <w:bCs w:val="false"/>
          <w:i/>
          <w:iCs/>
          <w:sz w:val="18"/>
          <w:szCs w:val="18"/>
        </w:rPr>
        <w:t xml:space="preserve">Sources: all figures from Marvell Technology, Inc. SEC filings — FY2026 Form 10-K (filed March 11, 2026); Form 10-Q for the quarter ended August 1, 2026 (filed August 28, 2026); Form 10-Q for the quarter ended May 2, 2026; Forms 8-K dated April 15, 2026 (senior notes), June 11, 2026 (CFO transition) and August 19, 2026 (Google commercial agreement and warrant). No non-filing sources were used.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Marvell Technology — Bull &amp; Bear Memo</dc:title>
  <dc:creator>Kun Xia</dc:creator>
  <cp:lastModifiedBy>Un-named</cp:lastModifiedBy>
  <cp:revision>1</cp:revision>
  <dcterms:created xsi:type="dcterms:W3CDTF">2026-09-09T10:52:29.430Z</dcterms:created>
  <dcterms:modified xsi:type="dcterms:W3CDTF">2026-09-09T10:52:29.431Z</dcterms:modified>
</cp:coreProperties>
</file>

<file path=docProps/custom.xml><?xml version="1.0" encoding="utf-8"?>
<Properties xmlns="http://schemas.openxmlformats.org/officeDocument/2006/custom-properties" xmlns:vt="http://schemas.openxmlformats.org/officeDocument/2006/docPropsVTypes"/>
</file>