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sz w:val="34"/>
          <w:szCs w:val="34"/>
        </w:rPr>
        <w:t xml:space="preserve">Netflix, Inc. (NFLX) — Bull &amp; Bear Memo</w:t>
      </w:r>
    </w:p>
    <w:p>
      <w:pPr>
        <w:spacing w:after="200"/>
      </w:pPr>
      <w:r>
        <w:rPr>
          <w:rFonts w:ascii="Calibri" w:cs="Calibri" w:eastAsia="Calibri" w:hAnsi="Calibri"/>
          <w:i/>
          <w:iCs/>
          <w:color w:val="666666"/>
          <w:sz w:val="19"/>
          <w:szCs w:val="19"/>
        </w:rPr>
        <w:t xml:space="preserve">Fast thinking anchor — not a thesis, valuation, or recommendation.  Prepared 9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c>
          <w:tcPr>
            <w:tcW w:type="dxa" w:w="1900"/>
            <w:tcMar>
              <w:top w:type="dxa" w:w="80"/>
              <w:left w:type="dxa" w:w="110"/>
              <w:bottom w:type="dxa" w:w="80"/>
              <w:right w:type="dxa" w:w="110"/>
            </w:tcMar>
          </w:tcPr>
          <w:p>
            <w:pPr>
              <w:spacing w:after="0" w:line="260"/>
            </w:pPr>
            <w:r>
              <w:rPr>
                <w:rFonts w:ascii="Calibri" w:cs="Calibri" w:eastAsia="Calibri" w:hAnsi="Calibri"/>
                <w:sz w:val="19"/>
                <w:szCs w:val="19"/>
              </w:rPr>
              <w:t xml:space="preserve">company</w:t>
            </w:r>
          </w:p>
        </w:tc>
        <w:tc>
          <w:tcPr>
            <w:tcW w:type="dxa" w:w="8180"/>
            <w:tcMar>
              <w:top w:type="dxa" w:w="80"/>
              <w:left w:type="dxa" w:w="110"/>
              <w:bottom w:type="dxa" w:w="80"/>
              <w:right w:type="dxa" w:w="110"/>
            </w:tcMar>
          </w:tcPr>
          <w:p>
            <w:pPr>
              <w:spacing w:after="0" w:line="260"/>
            </w:pPr>
            <w:r>
              <w:rPr>
                <w:rFonts w:ascii="Calibri" w:cs="Calibri" w:eastAsia="Calibri" w:hAnsi="Calibri"/>
                <w:sz w:val="19"/>
                <w:szCs w:val="19"/>
              </w:rPr>
              <w:t xml:space="preserve">Netflix, Inc. (NFLX) — Nasdaq</w:t>
            </w:r>
          </w:p>
        </w:tc>
      </w:tr>
      <w:tr>
        <w:tc>
          <w:tcPr>
            <w:tcW w:type="dxa" w:w="1900"/>
            <w:tcMar>
              <w:top w:type="dxa" w:w="80"/>
              <w:left w:type="dxa" w:w="110"/>
              <w:bottom w:type="dxa" w:w="80"/>
              <w:right w:type="dxa" w:w="110"/>
            </w:tcMar>
          </w:tcPr>
          <w:p>
            <w:pPr>
              <w:spacing w:after="0" w:line="260"/>
            </w:pPr>
            <w:r>
              <w:rPr>
                <w:rFonts w:ascii="Calibri" w:cs="Calibri" w:eastAsia="Calibri" w:hAnsi="Calibri"/>
                <w:sz w:val="19"/>
                <w:szCs w:val="19"/>
              </w:rPr>
              <w:t xml:space="preserve">sources used</w:t>
            </w:r>
          </w:p>
        </w:tc>
        <w:tc>
          <w:tcPr>
            <w:tcW w:type="dxa" w:w="8180"/>
            <w:tcMar>
              <w:top w:type="dxa" w:w="80"/>
              <w:left w:type="dxa" w:w="110"/>
              <w:bottom w:type="dxa" w:w="80"/>
              <w:right w:type="dxa" w:w="110"/>
            </w:tcMar>
          </w:tcPr>
          <w:p>
            <w:pPr>
              <w:spacing w:after="0" w:line="260"/>
            </w:pPr>
            <w:r>
              <w:rPr>
                <w:rFonts w:ascii="Calibri" w:cs="Calibri" w:eastAsia="Calibri" w:hAnsi="Calibri"/>
                <w:sz w:val="19"/>
                <w:szCs w:val="19"/>
              </w:rPr>
              <w:t xml:space="preserve">FY2025 10-K (2026-01-23); FY2026 Q2 10-Q (2026-07-17); Q2'26 and Q1'26 shareholder letters; WBD merger 8-Ks (2025-12-05, 2026-01-20); FY2024 10-K</w:t>
            </w:r>
          </w:p>
        </w:tc>
      </w:tr>
      <w:tr>
        <w:tc>
          <w:tcPr>
            <w:tcW w:type="dxa" w:w="1900"/>
            <w:tcMar>
              <w:top w:type="dxa" w:w="80"/>
              <w:left w:type="dxa" w:w="110"/>
              <w:bottom w:type="dxa" w:w="80"/>
              <w:right w:type="dxa" w:w="110"/>
            </w:tcMar>
          </w:tcPr>
          <w:p>
            <w:pPr>
              <w:spacing w:after="0" w:line="260"/>
            </w:pPr>
            <w:r>
              <w:rPr>
                <w:rFonts w:ascii="Calibri" w:cs="Calibri" w:eastAsia="Calibri" w:hAnsi="Calibri"/>
                <w:sz w:val="19"/>
                <w:szCs w:val="19"/>
              </w:rPr>
              <w:t xml:space="preserve">latest period</w:t>
            </w:r>
          </w:p>
        </w:tc>
        <w:tc>
          <w:tcPr>
            <w:tcW w:type="dxa" w:w="8180"/>
            <w:tcMar>
              <w:top w:type="dxa" w:w="80"/>
              <w:left w:type="dxa" w:w="110"/>
              <w:bottom w:type="dxa" w:w="80"/>
              <w:right w:type="dxa" w:w="110"/>
            </w:tcMar>
          </w:tcPr>
          <w:p>
            <w:pPr>
              <w:spacing w:after="0" w:line="260"/>
            </w:pPr>
            <w:r>
              <w:rPr>
                <w:rFonts w:ascii="Calibri" w:cs="Calibri" w:eastAsia="Calibri" w:hAnsi="Calibri"/>
                <w:sz w:val="19"/>
                <w:szCs w:val="19"/>
              </w:rPr>
              <w:t xml:space="preserve">Q2 2026 (quarter ended June 30, 2026)</w:t>
            </w:r>
          </w:p>
        </w:tc>
      </w:tr>
      <w:tr>
        <w:tc>
          <w:tcPr>
            <w:tcW w:type="dxa" w:w="1900"/>
            <w:tcMar>
              <w:top w:type="dxa" w:w="80"/>
              <w:left w:type="dxa" w:w="110"/>
              <w:bottom w:type="dxa" w:w="80"/>
              <w:right w:type="dxa" w:w="110"/>
            </w:tcMar>
          </w:tcPr>
          <w:p>
            <w:pPr>
              <w:spacing w:after="0" w:line="260"/>
            </w:pPr>
            <w:r>
              <w:rPr>
                <w:rFonts w:ascii="Calibri" w:cs="Calibri" w:eastAsia="Calibri" w:hAnsi="Calibri"/>
                <w:sz w:val="19"/>
                <w:szCs w:val="19"/>
              </w:rPr>
              <w:t xml:space="preserve">missing or stale data</w:t>
            </w:r>
          </w:p>
        </w:tc>
        <w:tc>
          <w:tcPr>
            <w:tcW w:type="dxa" w:w="8180"/>
            <w:tcMar>
              <w:top w:type="dxa" w:w="80"/>
              <w:left w:type="dxa" w:w="110"/>
              <w:bottom w:type="dxa" w:w="80"/>
              <w:right w:type="dxa" w:w="110"/>
            </w:tcMar>
          </w:tcPr>
          <w:p>
            <w:pPr>
              <w:spacing w:after="0" w:line="260"/>
            </w:pPr>
            <w:r>
              <w:rPr>
                <w:rFonts w:ascii="Calibri" w:cs="Calibri" w:eastAsia="Calibri" w:hAnsi="Calibri"/>
                <w:sz w:val="19"/>
                <w:szCs w:val="19"/>
              </w:rPr>
              <w:t xml:space="preserve">No membership counts and no revenue per membership — both discontinued during 2025. No reported ad revenue: the FY2025 10-K still calls non-membership revenue "not a material component"; the ~$3B figure is management's target. No churn, CAC or per-title economics. One operating segment, so regional disclosure is revenue only. No transcripts or investor presentations in the folder.</w:t>
            </w:r>
          </w:p>
        </w:tc>
      </w:tr>
    </w:tbl>
    <w:p>
      <w:pPr>
        <w:spacing w:after="260" w:line="276"/>
      </w:pPr>
      <w:r>
        <w:rPr>
          <w:rFonts w:ascii="Calibri" w:cs="Calibri" w:eastAsia="Calibri" w:hAnsi="Calibri"/>
          <w:sz w:val="21"/>
          <w:szCs w:val="21"/>
        </w:rPr>
        <w:t xml:space="preserve"/>
      </w:r>
    </w:p>
    <w:p>
      <w:pPr>
        <w:pStyle w:val="Heading1"/>
        <w:spacing w:after="140" w:before="120"/>
      </w:pPr>
      <w:r>
        <w:rPr>
          <w:rFonts w:ascii="Calibri" w:cs="Calibri" w:eastAsia="Calibri" w:hAnsi="Calibri"/>
          <w:b/>
          <w:bCs/>
          <w:sz w:val="26"/>
          <w:szCs w:val="26"/>
        </w:rPr>
        <w:t xml:space="preserve">1. Business in one line</w:t>
      </w:r>
    </w:p>
    <w:p>
      <w:pPr>
        <w:spacing w:after="120" w:line="276"/>
      </w:pPr>
      <w:r>
        <w:rPr>
          <w:rFonts w:ascii="Calibri" w:cs="Calibri" w:eastAsia="Calibri" w:hAnsi="Calibri"/>
          <w:sz w:val="21"/>
          <w:szCs w:val="21"/>
        </w:rPr>
        <w:t xml:space="preserve">Netflix sells one global streaming subscription, billed monthly in advance, against a library it both licenses and produces, and is now layering advertising onto that same content. FY2025 revenue was $45.2B (+16%), one segment across four regions: UCAN $20.0B, EMEA $14.5B, LATAM $5.4B, APAC $5.4B.</w:t>
      </w:r>
    </w:p>
    <w:p>
      <w:pPr>
        <w:spacing w:after="120" w:line="276"/>
      </w:pPr>
      <w:r>
        <w:rPr>
          <w:rFonts w:ascii="Calibri" w:cs="Calibri" w:eastAsia="Calibri" w:hAnsi="Calibri"/>
          <w:sz w:val="21"/>
          <w:szCs w:val="21"/>
        </w:rPr>
        <w:t xml:space="preserve">Type: fast grower, but a composite one. UCAN, 44% of revenue, already behaves like a stalwart whose growth must come from price rather than members; LATAM and APAC grow fastest at the lowest revenue per member; advertising is a start-up inside a $45B company. That split drives the rest of this memo.</w:t>
      </w:r>
    </w:p>
    <w:p>
      <w:pPr>
        <w:pStyle w:val="Heading1"/>
        <w:spacing w:after="140" w:before="260"/>
      </w:pPr>
      <w:r>
        <w:rPr>
          <w:rFonts w:ascii="Calibri" w:cs="Calibri" w:eastAsia="Calibri" w:hAnsi="Calibri"/>
          <w:b/>
          <w:bCs/>
          <w:sz w:val="26"/>
          <w:szCs w:val="26"/>
        </w:rPr>
        <w:t xml:space="preserve">2. Bull case — Peter Lynch pitch</w:t>
      </w:r>
    </w:p>
    <w:p>
      <w:pPr>
        <w:spacing w:after="120" w:line="276"/>
      </w:pPr>
      <w:r>
        <w:rPr>
          <w:rFonts w:ascii="Calibri" w:cs="Calibri" w:eastAsia="Calibri" w:hAnsi="Calibri"/>
          <w:i/>
          <w:iCs/>
          <w:sz w:val="21"/>
          <w:szCs w:val="21"/>
        </w:rPr>
        <w:t xml:space="preserve">The simple reason this stock could work is that Netflix carries a content cost base that grows slower than revenue, so every dollar of price and every dollar of advertising lands on a cost structure that barely moves. Operating margin went 20.6% (2023) → 26.7% (2024) → 29.5% (2025), and management guides 31.5% for 2026 on 13–14% revenue growth — implying 20%+ operating income growth.</w:t>
      </w:r>
    </w:p>
    <w:p>
      <w:pPr>
        <w:spacing w:after="90" w:before="180"/>
      </w:pPr>
      <w:r>
        <w:rPr>
          <w:rFonts w:ascii="Calibri" w:cs="Calibri" w:eastAsia="Calibri" w:hAnsi="Calibri"/>
          <w:b/>
          <w:bCs/>
          <w:color w:val="1F5C3A"/>
          <w:sz w:val="22"/>
          <w:szCs w:val="22"/>
        </w:rPr>
        <w:t xml:space="preserve">A1. Price increases keep clearing in mature markets</w:t>
      </w:r>
    </w:p>
    <w:p>
      <w:pPr>
        <w:spacing w:after="100" w:line="276"/>
        <w:ind w:left="340"/>
      </w:pPr>
      <w:r>
        <w:rPr>
          <w:rFonts w:ascii="Calibri" w:cs="Calibri" w:eastAsia="Calibri" w:hAnsi="Calibri"/>
          <w:b/>
          <w:bCs/>
          <w:color w:val="555555"/>
          <w:sz w:val="20"/>
          <w:szCs w:val="20"/>
        </w:rPr>
        <w:t xml:space="preserve">What must happen —  </w:t>
      </w:r>
      <w:r>
        <w:rPr>
          <w:rFonts w:ascii="Calibri" w:cs="Calibri" w:eastAsia="Calibri" w:hAnsi="Calibri"/>
          <w:sz w:val="21"/>
          <w:szCs w:val="21"/>
        </w:rPr>
        <w:t xml:space="preserve">Netflix keeps raising prices where penetration is high and loses less revenue to cancellations than it gains in revenue per member.</w:t>
      </w:r>
    </w:p>
    <w:p>
      <w:pPr>
        <w:spacing w:after="100" w:line="276"/>
        <w:ind w:left="340"/>
      </w:pPr>
      <w:r>
        <w:rPr>
          <w:rFonts w:ascii="Calibri" w:cs="Calibri" w:eastAsia="Calibri" w:hAnsi="Calibri"/>
          <w:b/>
          <w:bCs/>
          <w:color w:val="555555"/>
          <w:sz w:val="20"/>
          <w:szCs w:val="20"/>
        </w:rPr>
        <w:t xml:space="preserve">Why this company —  </w:t>
      </w:r>
      <w:r>
        <w:rPr>
          <w:rFonts w:ascii="Calibri" w:cs="Calibri" w:eastAsia="Calibri" w:hAnsi="Calibri"/>
          <w:sz w:val="21"/>
          <w:szCs w:val="21"/>
        </w:rPr>
        <w:t xml:space="preserve">The plan ladder runs from the dollar equivalent of $1 to $37 a month. A member facing an increase can trade down inside Netflix instead of out of it, so pricing converts into mix rather than churn.</w:t>
      </w:r>
    </w:p>
    <w:p>
      <w:pPr>
        <w:spacing w:after="100" w:line="276"/>
        <w:ind w:left="340"/>
      </w:pPr>
      <w:r>
        <w:rPr>
          <w:rFonts w:ascii="Calibri" w:cs="Calibri" w:eastAsia="Calibri" w:hAnsi="Calibri"/>
          <w:b/>
          <w:bCs/>
          <w:color w:val="555555"/>
          <w:sz w:val="20"/>
          <w:szCs w:val="20"/>
        </w:rPr>
        <w:t xml:space="preserve">Evidence —  </w:t>
      </w:r>
      <w:r>
        <w:rPr>
          <w:rFonts w:ascii="Calibri" w:cs="Calibri" w:eastAsia="Calibri" w:hAnsi="Calibri"/>
          <w:sz w:val="21"/>
          <w:szCs w:val="21"/>
        </w:rPr>
        <w:t xml:space="preserve">FY2025 revenue +16%, attributed to "growth in memberships, price increases, and increased advertising revenue"; UCAN +15%. Management calls the H1'26 US, Mexico and Spain changes "consistent with prior price changes."</w:t>
      </w:r>
    </w:p>
    <w:p>
      <w:pPr>
        <w:spacing w:after="100" w:line="276"/>
        <w:ind w:left="340"/>
      </w:pPr>
      <w:r>
        <w:rPr>
          <w:rFonts w:ascii="Calibri" w:cs="Calibri" w:eastAsia="Calibri" w:hAnsi="Calibri"/>
          <w:b/>
          <w:bCs/>
          <w:color w:val="555555"/>
          <w:sz w:val="20"/>
          <w:szCs w:val="20"/>
        </w:rPr>
        <w:t xml:space="preserve">Monitor —  </w:t>
      </w:r>
      <w:r>
        <w:rPr>
          <w:rFonts w:ascii="Calibri" w:cs="Calibri" w:eastAsia="Calibri" w:hAnsi="Calibri"/>
          <w:sz w:val="21"/>
          <w:szCs w:val="21"/>
        </w:rPr>
        <w:t xml:space="preserve">UCAN revenue growth in Q3'26 — the first full quarter carrying the recent US increase. Q2'26 was +10% on a partial quarter.</w:t>
      </w:r>
    </w:p>
    <w:p>
      <w:pPr>
        <w:spacing w:after="90" w:before="180"/>
      </w:pPr>
      <w:r>
        <w:rPr>
          <w:rFonts w:ascii="Calibri" w:cs="Calibri" w:eastAsia="Calibri" w:hAnsi="Calibri"/>
          <w:b/>
          <w:bCs/>
          <w:color w:val="1F5C3A"/>
          <w:sz w:val="22"/>
          <w:szCs w:val="22"/>
        </w:rPr>
        <w:t xml:space="preserve">A2. Advertising becomes a real second revenue line</w:t>
      </w:r>
    </w:p>
    <w:p>
      <w:pPr>
        <w:spacing w:after="100" w:line="276"/>
        <w:ind w:left="340"/>
      </w:pPr>
      <w:r>
        <w:rPr>
          <w:rFonts w:ascii="Calibri" w:cs="Calibri" w:eastAsia="Calibri" w:hAnsi="Calibri"/>
          <w:b/>
          <w:bCs/>
          <w:color w:val="555555"/>
          <w:sz w:val="20"/>
          <w:szCs w:val="20"/>
        </w:rPr>
        <w:t xml:space="preserve">What must happen —  </w:t>
      </w:r>
      <w:r>
        <w:rPr>
          <w:rFonts w:ascii="Calibri" w:cs="Calibri" w:eastAsia="Calibri" w:hAnsi="Calibri"/>
          <w:sz w:val="21"/>
          <w:szCs w:val="21"/>
        </w:rPr>
        <w:t xml:space="preserve">Ads revenue roughly doubles to about $3B in 2026 and compounds from there.</w:t>
      </w:r>
    </w:p>
    <w:p>
      <w:pPr>
        <w:spacing w:after="100" w:line="276"/>
        <w:ind w:left="340"/>
      </w:pPr>
      <w:r>
        <w:rPr>
          <w:rFonts w:ascii="Calibri" w:cs="Calibri" w:eastAsia="Calibri" w:hAnsi="Calibri"/>
          <w:b/>
          <w:bCs/>
          <w:color w:val="555555"/>
          <w:sz w:val="20"/>
          <w:szCs w:val="20"/>
        </w:rPr>
        <w:t xml:space="preserve">Why this company —  </w:t>
      </w:r>
      <w:r>
        <w:rPr>
          <w:rFonts w:ascii="Calibri" w:cs="Calibri" w:eastAsia="Calibri" w:hAnsi="Calibri"/>
          <w:sz w:val="21"/>
          <w:szCs w:val="21"/>
        </w:rPr>
        <w:t xml:space="preserve">Ads monetize view hours already paid for. Content is sunk and largely fixed, so an incremental impression carries near-total contribution margin — which is what lets Netflix hold a cheap entry tier without wrecking blended revenue per member.</w:t>
      </w:r>
    </w:p>
    <w:p>
      <w:pPr>
        <w:spacing w:after="100" w:line="276"/>
        <w:ind w:left="340"/>
      </w:pPr>
      <w:r>
        <w:rPr>
          <w:rFonts w:ascii="Calibri" w:cs="Calibri" w:eastAsia="Calibri" w:hAnsi="Calibri"/>
          <w:b/>
          <w:bCs/>
          <w:color w:val="555555"/>
          <w:sz w:val="20"/>
          <w:szCs w:val="20"/>
        </w:rPr>
        <w:t xml:space="preserve">Evidence —  </w:t>
      </w:r>
      <w:r>
        <w:rPr>
          <w:rFonts w:ascii="Calibri" w:cs="Calibri" w:eastAsia="Calibri" w:hAnsi="Calibri"/>
          <w:sz w:val="21"/>
          <w:szCs w:val="21"/>
        </w:rPr>
        <w:t xml:space="preserve">Management's ~$3B target and "rough doubling" language; a $149M rise in FY2025 sales-and-marketing personnel costs from ad-sales headcount.</w:t>
      </w:r>
    </w:p>
    <w:p>
      <w:pPr>
        <w:spacing w:after="100" w:line="276"/>
        <w:ind w:left="340"/>
      </w:pPr>
      <w:r>
        <w:rPr>
          <w:rFonts w:ascii="Calibri" w:cs="Calibri" w:eastAsia="Calibri" w:hAnsi="Calibri"/>
          <w:b/>
          <w:bCs/>
          <w:color w:val="555555"/>
          <w:sz w:val="20"/>
          <w:szCs w:val="20"/>
        </w:rPr>
        <w:t xml:space="preserve">Monitor —  </w:t>
      </w:r>
      <w:r>
        <w:rPr>
          <w:rFonts w:ascii="Calibri" w:cs="Calibri" w:eastAsia="Calibri" w:hAnsi="Calibri"/>
          <w:sz w:val="21"/>
          <w:szCs w:val="21"/>
        </w:rPr>
        <w:t xml:space="preserve">Whether the FY2026 10-K still calls non-membership revenue "not a material component of revenues" — the language used for 2023, 2024 and 2025.</w:t>
      </w:r>
    </w:p>
    <w:p>
      <w:pPr>
        <w:spacing w:after="90" w:before="180"/>
      </w:pPr>
      <w:r>
        <w:rPr>
          <w:rFonts w:ascii="Calibri" w:cs="Calibri" w:eastAsia="Calibri" w:hAnsi="Calibri"/>
          <w:b/>
          <w:bCs/>
          <w:color w:val="1F5C3A"/>
          <w:sz w:val="22"/>
          <w:szCs w:val="22"/>
        </w:rPr>
        <w:t xml:space="preserve">A3. Content cost grows slower than revenue</w:t>
      </w:r>
    </w:p>
    <w:p>
      <w:pPr>
        <w:spacing w:after="100" w:line="276"/>
        <w:ind w:left="340"/>
      </w:pPr>
      <w:r>
        <w:rPr>
          <w:rFonts w:ascii="Calibri" w:cs="Calibri" w:eastAsia="Calibri" w:hAnsi="Calibri"/>
          <w:b/>
          <w:bCs/>
          <w:color w:val="555555"/>
          <w:sz w:val="20"/>
          <w:szCs w:val="20"/>
        </w:rPr>
        <w:t xml:space="preserve">What must happen —  </w:t>
      </w:r>
      <w:r>
        <w:rPr>
          <w:rFonts w:ascii="Calibri" w:cs="Calibri" w:eastAsia="Calibri" w:hAnsi="Calibri"/>
          <w:sz w:val="21"/>
          <w:szCs w:val="21"/>
        </w:rPr>
        <w:t xml:space="preserve">Content amortization grows high single digits while revenue grows low-to-mid teens.</w:t>
      </w:r>
    </w:p>
    <w:p>
      <w:pPr>
        <w:spacing w:after="100" w:line="276"/>
        <w:ind w:left="340"/>
      </w:pPr>
      <w:r>
        <w:rPr>
          <w:rFonts w:ascii="Calibri" w:cs="Calibri" w:eastAsia="Calibri" w:hAnsi="Calibri"/>
          <w:b/>
          <w:bCs/>
          <w:color w:val="555555"/>
          <w:sz w:val="20"/>
          <w:szCs w:val="20"/>
        </w:rPr>
        <w:t xml:space="preserve">Why this company —  </w:t>
      </w:r>
      <w:r>
        <w:rPr>
          <w:rFonts w:ascii="Calibri" w:cs="Calibri" w:eastAsia="Calibri" w:hAnsi="Calibri"/>
          <w:sz w:val="21"/>
          <w:szCs w:val="21"/>
        </w:rPr>
        <w:t xml:space="preserve">A Korean series costs the same whether it plays in one market or ninety, and non-English titles drove more than a third of H1'26 viewing — the same asset is re-monetized across regions rather than re-bought.</w:t>
      </w:r>
    </w:p>
    <w:p>
      <w:pPr>
        <w:spacing w:after="100" w:line="276"/>
        <w:ind w:left="340"/>
      </w:pPr>
      <w:r>
        <w:rPr>
          <w:rFonts w:ascii="Calibri" w:cs="Calibri" w:eastAsia="Calibri" w:hAnsi="Calibri"/>
          <w:b/>
          <w:bCs/>
          <w:color w:val="555555"/>
          <w:sz w:val="20"/>
          <w:szCs w:val="20"/>
        </w:rPr>
        <w:t xml:space="preserve">Evidence —  </w:t>
      </w:r>
      <w:r>
        <w:rPr>
          <w:rFonts w:ascii="Calibri" w:cs="Calibri" w:eastAsia="Calibri" w:hAnsi="Calibri"/>
          <w:sz w:val="21"/>
          <w:szCs w:val="21"/>
        </w:rPr>
        <w:t xml:space="preserve">Cost of revenues fell from 58% of revenue (2023) to 54% (2024) to 52% (2025). Management guides content amortization +~10% in 2026 against revenue +13–14%.</w:t>
      </w:r>
    </w:p>
    <w:p>
      <w:pPr>
        <w:spacing w:after="100" w:line="276"/>
        <w:ind w:left="340"/>
      </w:pPr>
      <w:r>
        <w:rPr>
          <w:rFonts w:ascii="Calibri" w:cs="Calibri" w:eastAsia="Calibri" w:hAnsi="Calibri"/>
          <w:b/>
          <w:bCs/>
          <w:color w:val="555555"/>
          <w:sz w:val="20"/>
          <w:szCs w:val="20"/>
        </w:rPr>
        <w:t xml:space="preserve">Monitor —  </w:t>
      </w:r>
      <w:r>
        <w:rPr>
          <w:rFonts w:ascii="Calibri" w:cs="Calibri" w:eastAsia="Calibri" w:hAnsi="Calibri"/>
          <w:sz w:val="21"/>
          <w:szCs w:val="21"/>
        </w:rPr>
        <w:t xml:space="preserve">Amortization growth against revenue growth each quarter, and cash content spend to amortization — 1.04x in FY2025 ($17.1B added, $16.4B amortized), guided ~1.1x for 2026.</w:t>
      </w:r>
    </w:p>
    <w:p>
      <w:pPr>
        <w:spacing w:after="90" w:before="180"/>
      </w:pPr>
      <w:r>
        <w:rPr>
          <w:rFonts w:ascii="Calibri" w:cs="Calibri" w:eastAsia="Calibri" w:hAnsi="Calibri"/>
          <w:b/>
          <w:bCs/>
          <w:color w:val="1F5C3A"/>
          <w:sz w:val="22"/>
          <w:szCs w:val="22"/>
        </w:rPr>
        <w:t xml:space="preserve">A4. Engagement holds while price rises</w:t>
      </w:r>
    </w:p>
    <w:p>
      <w:pPr>
        <w:spacing w:after="100" w:line="276"/>
        <w:ind w:left="340"/>
      </w:pPr>
      <w:r>
        <w:rPr>
          <w:rFonts w:ascii="Calibri" w:cs="Calibri" w:eastAsia="Calibri" w:hAnsi="Calibri"/>
          <w:b/>
          <w:bCs/>
          <w:color w:val="555555"/>
          <w:sz w:val="20"/>
          <w:szCs w:val="20"/>
        </w:rPr>
        <w:t xml:space="preserve">What must happen —  </w:t>
      </w:r>
      <w:r>
        <w:rPr>
          <w:rFonts w:ascii="Calibri" w:cs="Calibri" w:eastAsia="Calibri" w:hAnsi="Calibri"/>
          <w:sz w:val="21"/>
          <w:szCs w:val="21"/>
        </w:rPr>
        <w:t xml:space="preserve">Hours per member stay flat to up, so each increase is experienced as still-good value rather than a reason to cancel.</w:t>
      </w:r>
    </w:p>
    <w:p>
      <w:pPr>
        <w:spacing w:after="100" w:line="276"/>
        <w:ind w:left="340"/>
      </w:pPr>
      <w:r>
        <w:rPr>
          <w:rFonts w:ascii="Calibri" w:cs="Calibri" w:eastAsia="Calibri" w:hAnsi="Calibri"/>
          <w:b/>
          <w:bCs/>
          <w:color w:val="555555"/>
          <w:sz w:val="20"/>
          <w:szCs w:val="20"/>
        </w:rPr>
        <w:t xml:space="preserve">Why this company —  </w:t>
      </w:r>
      <w:r>
        <w:rPr>
          <w:rFonts w:ascii="Calibri" w:cs="Calibri" w:eastAsia="Calibri" w:hAnsi="Calibri"/>
          <w:sz w:val="21"/>
          <w:szCs w:val="21"/>
        </w:rPr>
        <w:t xml:space="preserve">Variety is the mechanism, not spend. Live is guided to just over 5% of 2026 content spend and ~1% of view hours, yet produced six of the top ten new sign-up days of the past five years. Podcasts over-index on daytime and mobile viewing — engagement management reads as incremental.</w:t>
      </w:r>
    </w:p>
    <w:p>
      <w:pPr>
        <w:spacing w:after="100" w:line="276"/>
        <w:ind w:left="340"/>
      </w:pPr>
      <w:r>
        <w:rPr>
          <w:rFonts w:ascii="Calibri" w:cs="Calibri" w:eastAsia="Calibri" w:hAnsi="Calibri"/>
          <w:b/>
          <w:bCs/>
          <w:color w:val="555555"/>
          <w:sz w:val="20"/>
          <w:szCs w:val="20"/>
        </w:rPr>
        <w:t xml:space="preserve">Evidence —  </w:t>
      </w:r>
      <w:r>
        <w:rPr>
          <w:rFonts w:ascii="Calibri" w:cs="Calibri" w:eastAsia="Calibri" w:hAnsi="Calibri"/>
          <w:sz w:val="21"/>
          <w:szCs w:val="21"/>
        </w:rPr>
        <w:t xml:space="preserve">Members watched more than 97 billion hours in H1'26, +2% year over year against +1.5% in 2025, despite the Winter Olympics and World Cup.</w:t>
      </w:r>
    </w:p>
    <w:p>
      <w:pPr>
        <w:spacing w:after="100" w:line="276"/>
        <w:ind w:left="340"/>
      </w:pPr>
      <w:r>
        <w:rPr>
          <w:rFonts w:ascii="Calibri" w:cs="Calibri" w:eastAsia="Calibri" w:hAnsi="Calibri"/>
          <w:b/>
          <w:bCs/>
          <w:color w:val="555555"/>
          <w:sz w:val="20"/>
          <w:szCs w:val="20"/>
        </w:rPr>
        <w:t xml:space="preserve">Monitor —  </w:t>
      </w:r>
      <w:r>
        <w:rPr>
          <w:rFonts w:ascii="Calibri" w:cs="Calibri" w:eastAsia="Calibri" w:hAnsi="Calibri"/>
          <w:sz w:val="21"/>
          <w:szCs w:val="21"/>
        </w:rPr>
        <w:t xml:space="preserve">View-hours growth against revenue growth — noting the report moves to annual publication from 2027.</w:t>
      </w:r>
    </w:p>
    <w:p>
      <w:pPr>
        <w:spacing w:after="90" w:before="180"/>
      </w:pPr>
      <w:r>
        <w:rPr>
          <w:rFonts w:ascii="Calibri" w:cs="Calibri" w:eastAsia="Calibri" w:hAnsi="Calibri"/>
          <w:b/>
          <w:bCs/>
          <w:color w:val="1F5C3A"/>
          <w:sz w:val="22"/>
          <w:szCs w:val="22"/>
        </w:rPr>
        <w:t xml:space="preserve">A5. Free cash flow goes to shareholders, not to empire-building</w:t>
      </w:r>
    </w:p>
    <w:p>
      <w:pPr>
        <w:spacing w:after="100" w:line="276"/>
        <w:ind w:left="340"/>
      </w:pPr>
      <w:r>
        <w:rPr>
          <w:rFonts w:ascii="Calibri" w:cs="Calibri" w:eastAsia="Calibri" w:hAnsi="Calibri"/>
          <w:b/>
          <w:bCs/>
          <w:color w:val="555555"/>
          <w:sz w:val="20"/>
          <w:szCs w:val="20"/>
        </w:rPr>
        <w:t xml:space="preserve">What must happen —  </w:t>
      </w:r>
      <w:r>
        <w:rPr>
          <w:rFonts w:ascii="Calibri" w:cs="Calibri" w:eastAsia="Calibri" w:hAnsi="Calibri"/>
          <w:sz w:val="21"/>
          <w:szCs w:val="21"/>
        </w:rPr>
        <w:t xml:space="preserve">Netflix converts ~$12.5B of guided 2026 free cash flow into per-share value rather than into a levered acquisition.</w:t>
      </w:r>
    </w:p>
    <w:p>
      <w:pPr>
        <w:spacing w:after="100" w:line="276"/>
        <w:ind w:left="340"/>
      </w:pPr>
      <w:r>
        <w:rPr>
          <w:rFonts w:ascii="Calibri" w:cs="Calibri" w:eastAsia="Calibri" w:hAnsi="Calibri"/>
          <w:b/>
          <w:bCs/>
          <w:color w:val="555555"/>
          <w:sz w:val="20"/>
          <w:szCs w:val="20"/>
        </w:rPr>
        <w:t xml:space="preserve">Why this company —  </w:t>
      </w:r>
      <w:r>
        <w:rPr>
          <w:rFonts w:ascii="Calibri" w:cs="Calibri" w:eastAsia="Calibri" w:hAnsi="Calibri"/>
          <w:sz w:val="21"/>
          <w:szCs w:val="21"/>
        </w:rPr>
        <w:t xml:space="preserve">WBD is the cleanest test of price discipline available: Netflix signed at $27.75 a share in cash (~$82.7B enterprise value), then declined to raise and collected a $2.8B termination fee in Q1'26.</w:t>
      </w:r>
    </w:p>
    <w:p>
      <w:pPr>
        <w:spacing w:after="100" w:line="276"/>
        <w:ind w:left="340"/>
      </w:pPr>
      <w:r>
        <w:rPr>
          <w:rFonts w:ascii="Calibri" w:cs="Calibri" w:eastAsia="Calibri" w:hAnsi="Calibri"/>
          <w:b/>
          <w:bCs/>
          <w:color w:val="555555"/>
          <w:sz w:val="20"/>
          <w:szCs w:val="20"/>
        </w:rPr>
        <w:t xml:space="preserve">Evidence —  </w:t>
      </w:r>
      <w:r>
        <w:rPr>
          <w:rFonts w:ascii="Calibri" w:cs="Calibri" w:eastAsia="Calibri" w:hAnsi="Calibri"/>
          <w:sz w:val="21"/>
          <w:szCs w:val="21"/>
        </w:rPr>
        <w:t xml:space="preserve">FY2025 repurchases of 86.5M shares for $9.1B; $4.7B in Q2'26, the largest quarter on record; $27.1B of remaining authorization; diluted shares 4,261M in Q2'26 against 4,349M a year earlier.</w:t>
      </w:r>
    </w:p>
    <w:p>
      <w:pPr>
        <w:spacing w:after="100" w:line="276"/>
        <w:ind w:left="340"/>
      </w:pPr>
      <w:r>
        <w:rPr>
          <w:rFonts w:ascii="Calibri" w:cs="Calibri" w:eastAsia="Calibri" w:hAnsi="Calibri"/>
          <w:b/>
          <w:bCs/>
          <w:color w:val="555555"/>
          <w:sz w:val="20"/>
          <w:szCs w:val="20"/>
        </w:rPr>
        <w:t xml:space="preserve">Monitor —  </w:t>
      </w:r>
      <w:r>
        <w:rPr>
          <w:rFonts w:ascii="Calibri" w:cs="Calibri" w:eastAsia="Calibri" w:hAnsi="Calibri"/>
          <w:sz w:val="21"/>
          <w:szCs w:val="21"/>
        </w:rPr>
        <w:t xml:space="preserve">Repurchase pace against any new M&amp;A, and net debt (~$5.3B at 6/30/26: $14.4B gross debt, $9.1B cash).</w:t>
      </w:r>
    </w:p>
    <w:p>
      <w:pPr>
        <w:spacing w:after="120" w:line="276"/>
      </w:pPr>
      <w:r>
        <w:rPr>
          <w:rFonts w:ascii="Calibri" w:cs="Calibri" w:eastAsia="Calibri" w:hAnsi="Calibri"/>
          <w:sz w:val="21"/>
          <w:szCs w:val="21"/>
        </w:rPr>
        <w:t xml:space="preserve">Why the market might be missing it: the two inputs most models were built on — memberships and revenue per membership — were withdrawn during 2025. A model that can no longer decompose growth extrapolates the aggregate, which understates a business whose mix is shifting toward price and advertising (high incremental margin) and away from unit adds (low incremental margin).</w:t>
      </w:r>
    </w:p>
    <w:p>
      <w:pPr>
        <w:pStyle w:val="Heading1"/>
        <w:spacing w:after="140" w:before="260"/>
      </w:pPr>
      <w:r>
        <w:rPr>
          <w:rFonts w:ascii="Calibri" w:cs="Calibri" w:eastAsia="Calibri" w:hAnsi="Calibri"/>
          <w:b/>
          <w:bCs/>
          <w:sz w:val="26"/>
          <w:szCs w:val="26"/>
        </w:rPr>
        <w:t xml:space="preserve">3. Bear case — Munger invert</w:t>
      </w:r>
    </w:p>
    <w:p>
      <w:pPr>
        <w:spacing w:after="120" w:line="276"/>
      </w:pPr>
      <w:r>
        <w:rPr>
          <w:rFonts w:ascii="Calibri" w:cs="Calibri" w:eastAsia="Calibri" w:hAnsi="Calibri"/>
          <w:i/>
          <w:iCs/>
          <w:sz w:val="21"/>
          <w:szCs w:val="21"/>
        </w:rPr>
        <w:t xml:space="preserve">The most likely way I lose money is that price increases stop clearing in UCAN and advertising stays immaterial — and I do not find out for four to six quarters, because the disclosures that would have shown it were removed, while a $24.0B content commitment book keeps paying out on contractual schedule.</w:t>
      </w:r>
    </w:p>
    <w:p>
      <w:pPr>
        <w:spacing w:after="90" w:before="180"/>
      </w:pPr>
      <w:r>
        <w:rPr>
          <w:rFonts w:ascii="Calibri" w:cs="Calibri" w:eastAsia="Calibri" w:hAnsi="Calibri"/>
          <w:b/>
          <w:bCs/>
          <w:color w:val="8A1F1F"/>
          <w:sz w:val="22"/>
          <w:szCs w:val="22"/>
        </w:rPr>
        <w:t xml:space="preserve">B1. The content cost base is contractual, re-accelerating, and can never be written down</w:t>
      </w:r>
      <w:r>
        <w:rPr>
          <w:rFonts w:ascii="Calibri" w:cs="Calibri" w:eastAsia="Calibri" w:hAnsi="Calibri"/>
          <w:color w:val="888888"/>
          <w:sz w:val="19"/>
          <w:szCs w:val="19"/>
        </w:rPr>
        <w:t xml:space="preserve">   (attacks A3)</w:t>
      </w:r>
    </w:p>
    <w:p>
      <w:pPr>
        <w:spacing w:after="100" w:line="276"/>
        <w:ind w:left="340"/>
      </w:pPr>
      <w:r>
        <w:rPr>
          <w:rFonts w:ascii="Calibri" w:cs="Calibri" w:eastAsia="Calibri" w:hAnsi="Calibri"/>
          <w:b/>
          <w:bCs/>
          <w:color w:val="555555"/>
          <w:sz w:val="20"/>
          <w:szCs w:val="20"/>
        </w:rPr>
        <w:t xml:space="preserve">How it could fail —  </w:t>
      </w:r>
      <w:r>
        <w:rPr>
          <w:rFonts w:ascii="Calibri" w:cs="Calibri" w:eastAsia="Calibri" w:hAnsi="Calibri"/>
          <w:sz w:val="21"/>
          <w:szCs w:val="21"/>
        </w:rPr>
        <w:t xml:space="preserve">Content obligations were $24.0B at 12/31/25, $11.5B due within twelve months, plus $1–4B of unknown-title obligations over three years held off balance sheet. Netflix's own risk factor says that because these commitments are multi-year and largely fixed, margins may be impaired if performance disappoints and obligations cannot be cut near-term. Cash additions to content assets were $17.1B in FY2025 against $16.4B amortized (1.04x), guided to ~1.1x for 2026 — cash is committing ahead of the P&amp;L. And because content assets ($33.8B at 6/30/26) are monetized as a group with no impairment event ever identified, a slate that fails shows up only as slower revenue, never as a charge.</w:t>
      </w:r>
    </w:p>
    <w:p>
      <w:pPr>
        <w:spacing w:after="100" w:line="276"/>
        <w:ind w:left="340"/>
      </w:pPr>
      <w:r>
        <w:rPr>
          <w:rFonts w:ascii="Calibri" w:cs="Calibri" w:eastAsia="Calibri" w:hAnsi="Calibri"/>
          <w:b/>
          <w:bCs/>
          <w:color w:val="555555"/>
          <w:sz w:val="20"/>
          <w:szCs w:val="20"/>
        </w:rPr>
        <w:t xml:space="preserve">What confirms failure —  </w:t>
      </w:r>
      <w:r>
        <w:rPr>
          <w:rFonts w:ascii="Calibri" w:cs="Calibri" w:eastAsia="Calibri" w:hAnsi="Calibri"/>
          <w:sz w:val="21"/>
          <w:szCs w:val="21"/>
        </w:rPr>
        <w:t xml:space="preserve">Cash-to-amortization sustained above ~1.15x, or amortization growth converging on revenue growth while revenue decelerates.</w:t>
      </w:r>
    </w:p>
    <w:p>
      <w:pPr>
        <w:spacing w:after="100" w:line="276"/>
        <w:ind w:left="340"/>
      </w:pPr>
      <w:r>
        <w:rPr>
          <w:rFonts w:ascii="Calibri" w:cs="Calibri" w:eastAsia="Calibri" w:hAnsi="Calibri"/>
          <w:b/>
          <w:bCs/>
          <w:color w:val="555555"/>
          <w:sz w:val="20"/>
          <w:szCs w:val="20"/>
        </w:rPr>
        <w:t xml:space="preserve">What it does to the economics —  </w:t>
      </w:r>
      <w:r>
        <w:rPr>
          <w:rFonts w:ascii="Calibri" w:cs="Calibri" w:eastAsia="Calibri" w:hAnsi="Calibri"/>
          <w:sz w:val="21"/>
          <w:szCs w:val="21"/>
        </w:rPr>
        <w:t xml:space="preserve">Operating margin and free cash flow — and the guided ~$12.5B of 2026 FCF was itself raised from ~$11B mainly on the after-tax WBD fee, a one-off rather than operating cash.</w:t>
      </w:r>
    </w:p>
    <w:p>
      <w:pPr>
        <w:spacing w:after="100" w:line="276"/>
        <w:ind w:left="340"/>
      </w:pPr>
      <w:r>
        <w:rPr>
          <w:rFonts w:ascii="Calibri" w:cs="Calibri" w:eastAsia="Calibri" w:hAnsi="Calibri"/>
          <w:b/>
          <w:bCs/>
          <w:color w:val="555555"/>
          <w:sz w:val="20"/>
          <w:szCs w:val="20"/>
        </w:rPr>
        <w:t xml:space="preserve">Permanent or fixable —  </w:t>
      </w:r>
      <w:r>
        <w:rPr>
          <w:rFonts w:ascii="Calibri" w:cs="Calibri" w:eastAsia="Calibri" w:hAnsi="Calibri"/>
          <w:sz w:val="21"/>
          <w:szCs w:val="21"/>
        </w:rPr>
        <w:t xml:space="preserve">Semi-permanent: contractual over two to three years, and it does not flex down with revenue.</w:t>
      </w:r>
    </w:p>
    <w:p>
      <w:pPr>
        <w:spacing w:after="90" w:before="180"/>
      </w:pPr>
      <w:r>
        <w:rPr>
          <w:rFonts w:ascii="Calibri" w:cs="Calibri" w:eastAsia="Calibri" w:hAnsi="Calibri"/>
          <w:b/>
          <w:bCs/>
          <w:color w:val="8A1F1F"/>
          <w:sz w:val="22"/>
          <w:szCs w:val="22"/>
        </w:rPr>
        <w:t xml:space="preserve">B2. The thesis has been made hard to falsify</w:t>
      </w:r>
      <w:r>
        <w:rPr>
          <w:rFonts w:ascii="Calibri" w:cs="Calibri" w:eastAsia="Calibri" w:hAnsi="Calibri"/>
          <w:color w:val="888888"/>
          <w:sz w:val="19"/>
          <w:szCs w:val="19"/>
        </w:rPr>
        <w:t xml:space="preserve">   (attacks A1, A4)</w:t>
      </w:r>
    </w:p>
    <w:p>
      <w:pPr>
        <w:spacing w:after="100" w:line="276"/>
        <w:ind w:left="340"/>
      </w:pPr>
      <w:r>
        <w:rPr>
          <w:rFonts w:ascii="Calibri" w:cs="Calibri" w:eastAsia="Calibri" w:hAnsi="Calibri"/>
          <w:b/>
          <w:bCs/>
          <w:color w:val="555555"/>
          <w:sz w:val="20"/>
          <w:szCs w:val="20"/>
        </w:rPr>
        <w:t xml:space="preserve">How it could fail —  </w:t>
      </w:r>
      <w:r>
        <w:rPr>
          <w:rFonts w:ascii="Calibri" w:cs="Calibri" w:eastAsia="Calibri" w:hAnsi="Calibri"/>
          <w:sz w:val="21"/>
          <w:szCs w:val="21"/>
        </w:rPr>
        <w:t xml:space="preserve">Netflix discontinued membership counts and revenue per membership during 2025, and from 2027 will publish view hours annually rather than semi-annually. Revenue is members times price; without the split, a quarter where price rose 12% and members fell 4% looks identical to one where both rose modestly.</w:t>
      </w:r>
    </w:p>
    <w:p>
      <w:pPr>
        <w:spacing w:after="100" w:line="276"/>
        <w:ind w:left="340"/>
      </w:pPr>
      <w:r>
        <w:rPr>
          <w:rFonts w:ascii="Calibri" w:cs="Calibri" w:eastAsia="Calibri" w:hAnsi="Calibri"/>
          <w:b/>
          <w:bCs/>
          <w:color w:val="555555"/>
          <w:sz w:val="20"/>
          <w:szCs w:val="20"/>
        </w:rPr>
        <w:t xml:space="preserve">What confirms failure —  </w:t>
      </w:r>
      <w:r>
        <w:rPr>
          <w:rFonts w:ascii="Calibri" w:cs="Calibri" w:eastAsia="Calibri" w:hAnsi="Calibri"/>
          <w:sz w:val="21"/>
          <w:szCs w:val="21"/>
        </w:rPr>
        <w:t xml:space="preserve">Regional revenue decelerating right after a price change, with no disclosure able to attribute it to volume or price.</w:t>
      </w:r>
    </w:p>
    <w:p>
      <w:pPr>
        <w:spacing w:after="100" w:line="276"/>
        <w:ind w:left="340"/>
      </w:pPr>
      <w:r>
        <w:rPr>
          <w:rFonts w:ascii="Calibri" w:cs="Calibri" w:eastAsia="Calibri" w:hAnsi="Calibri"/>
          <w:b/>
          <w:bCs/>
          <w:color w:val="555555"/>
          <w:sz w:val="20"/>
          <w:szCs w:val="20"/>
        </w:rPr>
        <w:t xml:space="preserve">What it does to the economics —  </w:t>
      </w:r>
      <w:r>
        <w:rPr>
          <w:rFonts w:ascii="Calibri" w:cs="Calibri" w:eastAsia="Calibri" w:hAnsi="Calibri"/>
          <w:sz w:val="21"/>
          <w:szCs w:val="21"/>
        </w:rPr>
        <w:t xml:space="preserve">Not to economics directly, but the position becomes unmonitorable exactly when the pricing assumption is under most strain.</w:t>
      </w:r>
    </w:p>
    <w:p>
      <w:pPr>
        <w:spacing w:after="100" w:line="276"/>
        <w:ind w:left="340"/>
      </w:pPr>
      <w:r>
        <w:rPr>
          <w:rFonts w:ascii="Calibri" w:cs="Calibri" w:eastAsia="Calibri" w:hAnsi="Calibri"/>
          <w:b/>
          <w:bCs/>
          <w:color w:val="555555"/>
          <w:sz w:val="20"/>
          <w:szCs w:val="20"/>
        </w:rPr>
        <w:t xml:space="preserve">Permanent or fixable —  </w:t>
      </w:r>
      <w:r>
        <w:rPr>
          <w:rFonts w:ascii="Calibri" w:cs="Calibri" w:eastAsia="Calibri" w:hAnsi="Calibri"/>
          <w:sz w:val="21"/>
          <w:szCs w:val="21"/>
        </w:rPr>
        <w:t xml:space="preserve">Fixable only if disclosure is restored, which the company frames as a deliberate simplification.</w:t>
      </w:r>
    </w:p>
    <w:p>
      <w:pPr>
        <w:spacing w:after="90" w:before="180"/>
      </w:pPr>
      <w:r>
        <w:rPr>
          <w:rFonts w:ascii="Calibri" w:cs="Calibri" w:eastAsia="Calibri" w:hAnsi="Calibri"/>
          <w:b/>
          <w:bCs/>
          <w:color w:val="8A1F1F"/>
          <w:sz w:val="22"/>
          <w:szCs w:val="22"/>
        </w:rPr>
        <w:t xml:space="preserve">B3. UCAN is at a price ceiling</w:t>
      </w:r>
      <w:r>
        <w:rPr>
          <w:rFonts w:ascii="Calibri" w:cs="Calibri" w:eastAsia="Calibri" w:hAnsi="Calibri"/>
          <w:color w:val="888888"/>
          <w:sz w:val="19"/>
          <w:szCs w:val="19"/>
        </w:rPr>
        <w:t xml:space="preserve">   (attacks A1)</w:t>
      </w:r>
    </w:p>
    <w:p>
      <w:pPr>
        <w:spacing w:after="100" w:line="276"/>
        <w:ind w:left="340"/>
      </w:pPr>
      <w:r>
        <w:rPr>
          <w:rFonts w:ascii="Calibri" w:cs="Calibri" w:eastAsia="Calibri" w:hAnsi="Calibri"/>
          <w:b/>
          <w:bCs/>
          <w:color w:val="555555"/>
          <w:sz w:val="20"/>
          <w:szCs w:val="20"/>
        </w:rPr>
        <w:t xml:space="preserve">How it could fail —  </w:t>
      </w:r>
      <w:r>
        <w:rPr>
          <w:rFonts w:ascii="Calibri" w:cs="Calibri" w:eastAsia="Calibri" w:hAnsi="Calibri"/>
          <w:sz w:val="21"/>
          <w:szCs w:val="21"/>
        </w:rPr>
        <w:t xml:space="preserve">UCAN — 44% of FY2025 revenue and the highest revenue-per-member region — grew 10% in Q2'26, the slowest of the four regions, even with a price increase landing mid-quarter. In a saturated market revenue growth is price growth: each increase lifts cancellations that must be refilled from a shrinking pool of never-members. Netflix is simultaneously re-testing free trials outside the US and UK and running "upgrade on us" offers — both lower realized revenue per member to defend volume.</w:t>
      </w:r>
    </w:p>
    <w:p>
      <w:pPr>
        <w:spacing w:after="100" w:line="276"/>
        <w:ind w:left="340"/>
      </w:pPr>
      <w:r>
        <w:rPr>
          <w:rFonts w:ascii="Calibri" w:cs="Calibri" w:eastAsia="Calibri" w:hAnsi="Calibri"/>
          <w:b/>
          <w:bCs/>
          <w:color w:val="555555"/>
          <w:sz w:val="20"/>
          <w:szCs w:val="20"/>
        </w:rPr>
        <w:t xml:space="preserve">What confirms failure —  </w:t>
      </w:r>
      <w:r>
        <w:rPr>
          <w:rFonts w:ascii="Calibri" w:cs="Calibri" w:eastAsia="Calibri" w:hAnsi="Calibri"/>
          <w:sz w:val="21"/>
          <w:szCs w:val="21"/>
        </w:rPr>
        <w:t xml:space="preserve">UCAN below high single digits in Q3'26 with the full increase in effect, or free-trial and discount tests extended to the US.</w:t>
      </w:r>
    </w:p>
    <w:p>
      <w:pPr>
        <w:spacing w:after="100" w:line="276"/>
        <w:ind w:left="340"/>
      </w:pPr>
      <w:r>
        <w:rPr>
          <w:rFonts w:ascii="Calibri" w:cs="Calibri" w:eastAsia="Calibri" w:hAnsi="Calibri"/>
          <w:b/>
          <w:bCs/>
          <w:color w:val="555555"/>
          <w:sz w:val="20"/>
          <w:szCs w:val="20"/>
        </w:rPr>
        <w:t xml:space="preserve">What it does to the economics —  </w:t>
      </w:r>
      <w:r>
        <w:rPr>
          <w:rFonts w:ascii="Calibri" w:cs="Calibri" w:eastAsia="Calibri" w:hAnsi="Calibri"/>
          <w:sz w:val="21"/>
          <w:szCs w:val="21"/>
        </w:rPr>
        <w:t xml:space="preserve">UCAN carries the margin; a mature UCAN turns consolidated growth into an EMEA/LATAM/APAC story at structurally lower revenue per member — and those regions' reported growth is now flattered by currency (LATAM +21% reported, +16% constant currency in Q2'26).</w:t>
      </w:r>
    </w:p>
    <w:p>
      <w:pPr>
        <w:spacing w:after="100" w:line="276"/>
        <w:ind w:left="340"/>
      </w:pPr>
      <w:r>
        <w:rPr>
          <w:rFonts w:ascii="Calibri" w:cs="Calibri" w:eastAsia="Calibri" w:hAnsi="Calibri"/>
          <w:b/>
          <w:bCs/>
          <w:color w:val="555555"/>
          <w:sz w:val="20"/>
          <w:szCs w:val="20"/>
        </w:rPr>
        <w:t xml:space="preserve">Permanent or fixable —  </w:t>
      </w:r>
      <w:r>
        <w:rPr>
          <w:rFonts w:ascii="Calibri" w:cs="Calibri" w:eastAsia="Calibri" w:hAnsi="Calibri"/>
          <w:sz w:val="21"/>
          <w:szCs w:val="21"/>
        </w:rPr>
        <w:t xml:space="preserve">Permanent if it is saturation; recoverable if it is only the partial-quarter timing management describes.</w:t>
      </w:r>
    </w:p>
    <w:p>
      <w:pPr>
        <w:spacing w:after="90" w:before="180"/>
      </w:pPr>
      <w:r>
        <w:rPr>
          <w:rFonts w:ascii="Calibri" w:cs="Calibri" w:eastAsia="Calibri" w:hAnsi="Calibri"/>
          <w:b/>
          <w:bCs/>
          <w:color w:val="8A1F1F"/>
          <w:sz w:val="22"/>
          <w:szCs w:val="22"/>
        </w:rPr>
        <w:t xml:space="preserve">B4. Advertising under-delivers while cannibalizing</w:t>
      </w:r>
      <w:r>
        <w:rPr>
          <w:rFonts w:ascii="Calibri" w:cs="Calibri" w:eastAsia="Calibri" w:hAnsi="Calibri"/>
          <w:color w:val="888888"/>
          <w:sz w:val="19"/>
          <w:szCs w:val="19"/>
        </w:rPr>
        <w:t xml:space="preserve">   (attacks A2)</w:t>
      </w:r>
    </w:p>
    <w:p>
      <w:pPr>
        <w:spacing w:after="100" w:line="276"/>
        <w:ind w:left="340"/>
      </w:pPr>
      <w:r>
        <w:rPr>
          <w:rFonts w:ascii="Calibri" w:cs="Calibri" w:eastAsia="Calibri" w:hAnsi="Calibri"/>
          <w:b/>
          <w:bCs/>
          <w:color w:val="555555"/>
          <w:sz w:val="20"/>
          <w:szCs w:val="20"/>
        </w:rPr>
        <w:t xml:space="preserve">How it could fail —  </w:t>
      </w:r>
      <w:r>
        <w:rPr>
          <w:rFonts w:ascii="Calibri" w:cs="Calibri" w:eastAsia="Calibri" w:hAnsi="Calibri"/>
          <w:sz w:val="21"/>
          <w:szCs w:val="21"/>
        </w:rPr>
        <w:t xml:space="preserve">On ~$45B of revenue, non-membership revenue was still "not a material component" in the FY2025 10-K, and Netflix's own ads risk factor names "fluctuations in membership plan mix" among the drivers. The timing is asymmetric: a member trading down to the ad tier cuts revenue per member the day they switch, while the ad revenue depends on CPMs, fill and advertiser budgets that arrive later and are cyclical. The trade-down is certain; the offset is not.</w:t>
      </w:r>
    </w:p>
    <w:p>
      <w:pPr>
        <w:spacing w:after="100" w:line="276"/>
        <w:ind w:left="340"/>
      </w:pPr>
      <w:r>
        <w:rPr>
          <w:rFonts w:ascii="Calibri" w:cs="Calibri" w:eastAsia="Calibri" w:hAnsi="Calibri"/>
          <w:b/>
          <w:bCs/>
          <w:color w:val="555555"/>
          <w:sz w:val="20"/>
          <w:szCs w:val="20"/>
        </w:rPr>
        <w:t xml:space="preserve">What confirms failure —  </w:t>
      </w:r>
      <w:r>
        <w:rPr>
          <w:rFonts w:ascii="Calibri" w:cs="Calibri" w:eastAsia="Calibri" w:hAnsi="Calibri"/>
          <w:sz w:val="21"/>
          <w:szCs w:val="21"/>
        </w:rPr>
        <w:t xml:space="preserve">2026 ads revenue materially short of ~$3B, or deceleration concentrated where the ad tier is most penetrated.</w:t>
      </w:r>
    </w:p>
    <w:p>
      <w:pPr>
        <w:spacing w:after="100" w:line="276"/>
        <w:ind w:left="340"/>
      </w:pPr>
      <w:r>
        <w:rPr>
          <w:rFonts w:ascii="Calibri" w:cs="Calibri" w:eastAsia="Calibri" w:hAnsi="Calibri"/>
          <w:b/>
          <w:bCs/>
          <w:color w:val="555555"/>
          <w:sz w:val="20"/>
          <w:szCs w:val="20"/>
        </w:rPr>
        <w:t xml:space="preserve">What it does to the economics —  </w:t>
      </w:r>
      <w:r>
        <w:rPr>
          <w:rFonts w:ascii="Calibri" w:cs="Calibri" w:eastAsia="Calibri" w:hAnsi="Calibri"/>
          <w:sz w:val="21"/>
          <w:szCs w:val="21"/>
        </w:rPr>
        <w:t xml:space="preserve">Removes the second growth leg and puts the full weight of the thesis back on the UCAN pricing question.</w:t>
      </w:r>
    </w:p>
    <w:p>
      <w:pPr>
        <w:spacing w:after="100" w:line="276"/>
        <w:ind w:left="340"/>
      </w:pPr>
      <w:r>
        <w:rPr>
          <w:rFonts w:ascii="Calibri" w:cs="Calibri" w:eastAsia="Calibri" w:hAnsi="Calibri"/>
          <w:b/>
          <w:bCs/>
          <w:color w:val="555555"/>
          <w:sz w:val="20"/>
          <w:szCs w:val="20"/>
        </w:rPr>
        <w:t xml:space="preserve">Permanent or fixable —  </w:t>
      </w:r>
      <w:r>
        <w:rPr>
          <w:rFonts w:ascii="Calibri" w:cs="Calibri" w:eastAsia="Calibri" w:hAnsi="Calibri"/>
          <w:sz w:val="21"/>
          <w:szCs w:val="21"/>
        </w:rPr>
        <w:t xml:space="preserve">Fixable — inventory does not expire — but a two-to-three-year delay materially changes the compounding.</w:t>
      </w:r>
    </w:p>
    <w:p>
      <w:pPr>
        <w:spacing w:after="90" w:before="180"/>
      </w:pPr>
      <w:r>
        <w:rPr>
          <w:rFonts w:ascii="Calibri" w:cs="Calibri" w:eastAsia="Calibri" w:hAnsi="Calibri"/>
          <w:b/>
          <w:bCs/>
          <w:color w:val="8A1F1F"/>
          <w:sz w:val="22"/>
          <w:szCs w:val="22"/>
        </w:rPr>
        <w:t xml:space="preserve">B5. The acquisition impulse is demonstrated, not theoretical</w:t>
      </w:r>
      <w:r>
        <w:rPr>
          <w:rFonts w:ascii="Calibri" w:cs="Calibri" w:eastAsia="Calibri" w:hAnsi="Calibri"/>
          <w:color w:val="888888"/>
          <w:sz w:val="19"/>
          <w:szCs w:val="19"/>
        </w:rPr>
        <w:t xml:space="preserve">   (attacks A5)</w:t>
      </w:r>
    </w:p>
    <w:p>
      <w:pPr>
        <w:spacing w:after="100" w:line="276"/>
        <w:ind w:left="340"/>
      </w:pPr>
      <w:r>
        <w:rPr>
          <w:rFonts w:ascii="Calibri" w:cs="Calibri" w:eastAsia="Calibri" w:hAnsi="Calibri"/>
          <w:b/>
          <w:bCs/>
          <w:color w:val="555555"/>
          <w:sz w:val="20"/>
          <w:szCs w:val="20"/>
        </w:rPr>
        <w:t xml:space="preserve">How it could fail —  </w:t>
      </w:r>
      <w:r>
        <w:rPr>
          <w:rFonts w:ascii="Calibri" w:cs="Calibri" w:eastAsia="Calibri" w:hAnsi="Calibri"/>
          <w:sz w:val="21"/>
          <w:szCs w:val="21"/>
        </w:rPr>
        <w:t xml:space="preserve">Netflix walked from WBD, but only after signing at ~$82.7B enterprise value, arranging $42.2B of senior unsecured bridge commitments (raised from $34B), and accepting a $5.8B reverse termination fee if antitrust approval failed. What was demonstrated is price discipline on one deal, not a policy against levering the balance sheet for content assets.</w:t>
      </w:r>
    </w:p>
    <w:p>
      <w:pPr>
        <w:spacing w:after="100" w:line="276"/>
        <w:ind w:left="340"/>
      </w:pPr>
      <w:r>
        <w:rPr>
          <w:rFonts w:ascii="Calibri" w:cs="Calibri" w:eastAsia="Calibri" w:hAnsi="Calibri"/>
          <w:b/>
          <w:bCs/>
          <w:color w:val="555555"/>
          <w:sz w:val="20"/>
          <w:szCs w:val="20"/>
        </w:rPr>
        <w:t xml:space="preserve">What confirms failure —  </w:t>
      </w:r>
      <w:r>
        <w:rPr>
          <w:rFonts w:ascii="Calibri" w:cs="Calibri" w:eastAsia="Calibri" w:hAnsi="Calibri"/>
          <w:sz w:val="21"/>
          <w:szCs w:val="21"/>
        </w:rPr>
        <w:t xml:space="preserve">A new large cash acquisition, or repurchases pausing while authorization remains — they were already paused once, during the WBD process.</w:t>
      </w:r>
    </w:p>
    <w:p>
      <w:pPr>
        <w:spacing w:after="100" w:line="276"/>
        <w:ind w:left="340"/>
      </w:pPr>
      <w:r>
        <w:rPr>
          <w:rFonts w:ascii="Calibri" w:cs="Calibri" w:eastAsia="Calibri" w:hAnsi="Calibri"/>
          <w:b/>
          <w:bCs/>
          <w:color w:val="555555"/>
          <w:sz w:val="20"/>
          <w:szCs w:val="20"/>
        </w:rPr>
        <w:t xml:space="preserve">What it does to the economics —  </w:t>
      </w:r>
      <w:r>
        <w:rPr>
          <w:rFonts w:ascii="Calibri" w:cs="Calibri" w:eastAsia="Calibri" w:hAnsi="Calibri"/>
          <w:sz w:val="21"/>
          <w:szCs w:val="21"/>
        </w:rPr>
        <w:t xml:space="preserve">A levered studio acquisition converts an asset-light business earning roughly 43% on about $26B of average equity into a leveraged content conglomerate with a different cost of capital and multiple.</w:t>
      </w:r>
    </w:p>
    <w:p>
      <w:pPr>
        <w:spacing w:after="100" w:line="276"/>
        <w:ind w:left="340"/>
      </w:pPr>
      <w:r>
        <w:rPr>
          <w:rFonts w:ascii="Calibri" w:cs="Calibri" w:eastAsia="Calibri" w:hAnsi="Calibri"/>
          <w:b/>
          <w:bCs/>
          <w:color w:val="555555"/>
          <w:sz w:val="20"/>
          <w:szCs w:val="20"/>
        </w:rPr>
        <w:t xml:space="preserve">Permanent or fixable —  </w:t>
      </w:r>
      <w:r>
        <w:rPr>
          <w:rFonts w:ascii="Calibri" w:cs="Calibri" w:eastAsia="Calibri" w:hAnsi="Calibri"/>
          <w:sz w:val="21"/>
          <w:szCs w:val="21"/>
        </w:rPr>
        <w:t xml:space="preserve">Permanent once done.</w:t>
      </w:r>
    </w:p>
    <w:p>
      <w:pPr>
        <w:pStyle w:val="Heading1"/>
        <w:spacing w:after="140" w:before="280"/>
      </w:pPr>
      <w:r>
        <w:rPr>
          <w:rFonts w:ascii="Calibri" w:cs="Calibri" w:eastAsia="Calibri" w:hAnsi="Calibri"/>
          <w:b/>
          <w:bCs/>
          <w:sz w:val="26"/>
          <w:szCs w:val="26"/>
        </w:rPr>
        <w:t xml:space="preserve">4. Signals to monitor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1900"/>
        <w:gridCol w:w="3380"/>
      </w:tblGrid>
      <w:tr>
        <w:trPr>
          <w:tblHeader/>
        </w:trPr>
        <w:tc>
          <w:tcPr>
            <w:tcW w:type="dxa" w:w="2300"/>
            <w:shd w:fill="F2F2F2" w:color="auto" w:val="clear"/>
            <w:tcMar>
              <w:top w:type="dxa" w:w="80"/>
              <w:left w:type="dxa" w:w="110"/>
              <w:bottom w:type="dxa" w:w="80"/>
              <w:right w:type="dxa" w:w="110"/>
            </w:tcMar>
          </w:tcPr>
          <w:p>
            <w:pPr>
              <w:spacing w:after="0" w:line="260"/>
            </w:pPr>
            <w:r>
              <w:rPr>
                <w:rFonts w:ascii="Calibri" w:cs="Calibri" w:eastAsia="Calibri" w:hAnsi="Calibri"/>
                <w:b/>
                <w:bCs/>
                <w:sz w:val="19"/>
                <w:szCs w:val="19"/>
              </w:rPr>
              <w:t xml:space="preserve">Signal</w:t>
            </w:r>
          </w:p>
        </w:tc>
        <w:tc>
          <w:tcPr>
            <w:tcW w:type="dxa" w:w="2500"/>
            <w:shd w:fill="F2F2F2" w:color="auto" w:val="clear"/>
            <w:tcMar>
              <w:top w:type="dxa" w:w="80"/>
              <w:left w:type="dxa" w:w="110"/>
              <w:bottom w:type="dxa" w:w="80"/>
              <w:right w:type="dxa" w:w="110"/>
            </w:tcMar>
          </w:tcPr>
          <w:p>
            <w:pPr>
              <w:spacing w:after="0" w:line="260"/>
            </w:pPr>
            <w:r>
              <w:rPr>
                <w:rFonts w:ascii="Calibri" w:cs="Calibri" w:eastAsia="Calibri" w:hAnsi="Calibri"/>
                <w:b/>
                <w:bCs/>
                <w:sz w:val="19"/>
                <w:szCs w:val="19"/>
              </w:rPr>
              <w:t xml:space="preserve">Current value</w:t>
            </w:r>
          </w:p>
        </w:tc>
        <w:tc>
          <w:tcPr>
            <w:tcW w:type="dxa" w:w="1900"/>
            <w:shd w:fill="F2F2F2" w:color="auto" w:val="clear"/>
            <w:tcMar>
              <w:top w:type="dxa" w:w="80"/>
              <w:left w:type="dxa" w:w="110"/>
              <w:bottom w:type="dxa" w:w="80"/>
              <w:right w:type="dxa" w:w="110"/>
            </w:tcMar>
          </w:tcPr>
          <w:p>
            <w:pPr>
              <w:spacing w:after="0" w:line="260"/>
            </w:pPr>
            <w:r>
              <w:rPr>
                <w:rFonts w:ascii="Calibri" w:cs="Calibri" w:eastAsia="Calibri" w:hAnsi="Calibri"/>
                <w:b/>
                <w:bCs/>
                <w:sz w:val="19"/>
                <w:szCs w:val="19"/>
              </w:rPr>
              <w:t xml:space="preserve">Source</w:t>
            </w:r>
          </w:p>
        </w:tc>
        <w:tc>
          <w:tcPr>
            <w:tcW w:type="dxa" w:w="3380"/>
            <w:shd w:fill="F2F2F2" w:color="auto" w:val="clear"/>
            <w:tcMar>
              <w:top w:type="dxa" w:w="80"/>
              <w:left w:type="dxa" w:w="110"/>
              <w:bottom w:type="dxa" w:w="80"/>
              <w:right w:type="dxa" w:w="110"/>
            </w:tcMar>
          </w:tcPr>
          <w:p>
            <w:pPr>
              <w:spacing w:after="0" w:line="260"/>
            </w:pPr>
            <w:r>
              <w:rPr>
                <w:rFonts w:ascii="Calibri" w:cs="Calibri" w:eastAsia="Calibri" w:hAnsi="Calibri"/>
                <w:b/>
                <w:bCs/>
                <w:sz w:val="19"/>
                <w:szCs w:val="19"/>
              </w:rPr>
              <w:t xml:space="preserve">Direction that matters</w:t>
            </w:r>
          </w:p>
        </w:tc>
      </w:tr>
      <w:tr>
        <w:tc>
          <w:tcPr>
            <w:tcW w:type="dxa" w:w="2300"/>
            <w:tcMar>
              <w:top w:type="dxa" w:w="80"/>
              <w:left w:type="dxa" w:w="110"/>
              <w:bottom w:type="dxa" w:w="80"/>
              <w:right w:type="dxa" w:w="110"/>
            </w:tcMar>
          </w:tcPr>
          <w:p>
            <w:pPr>
              <w:spacing w:after="0" w:line="260"/>
            </w:pPr>
            <w:r>
              <w:rPr>
                <w:rFonts w:ascii="Calibri" w:cs="Calibri" w:eastAsia="Calibri" w:hAnsi="Calibri"/>
                <w:sz w:val="19"/>
                <w:szCs w:val="19"/>
              </w:rPr>
              <w:t xml:space="preserve">UCAN quarterly revenue growth</w:t>
            </w:r>
          </w:p>
        </w:tc>
        <w:tc>
          <w:tcPr>
            <w:tcW w:type="dxa" w:w="2500"/>
            <w:tcMar>
              <w:top w:type="dxa" w:w="80"/>
              <w:left w:type="dxa" w:w="110"/>
              <w:bottom w:type="dxa" w:w="80"/>
              <w:right w:type="dxa" w:w="110"/>
            </w:tcMar>
          </w:tcPr>
          <w:p>
            <w:pPr>
              <w:spacing w:after="0" w:line="260"/>
            </w:pPr>
            <w:r>
              <w:rPr>
                <w:rFonts w:ascii="Calibri" w:cs="Calibri" w:eastAsia="Calibri" w:hAnsi="Calibri"/>
                <w:sz w:val="19"/>
                <w:szCs w:val="19"/>
              </w:rPr>
              <w:t xml:space="preserve">+10% (Q2'26); +15% (FY2025)</w:t>
            </w:r>
          </w:p>
        </w:tc>
        <w:tc>
          <w:tcPr>
            <w:tcW w:type="dxa" w:w="1900"/>
            <w:tcMar>
              <w:top w:type="dxa" w:w="80"/>
              <w:left w:type="dxa" w:w="110"/>
              <w:bottom w:type="dxa" w:w="80"/>
              <w:right w:type="dxa" w:w="110"/>
            </w:tcMar>
          </w:tcPr>
          <w:p>
            <w:pPr>
              <w:spacing w:after="0" w:line="260"/>
            </w:pPr>
            <w:r>
              <w:rPr>
                <w:rFonts w:ascii="Calibri" w:cs="Calibri" w:eastAsia="Calibri" w:hAnsi="Calibri"/>
                <w:sz w:val="19"/>
                <w:szCs w:val="19"/>
              </w:rPr>
              <w:t xml:space="preserve">Q2'26 letter; FY2025 10-K</w:t>
            </w:r>
          </w:p>
        </w:tc>
        <w:tc>
          <w:tcPr>
            <w:tcW w:type="dxa" w:w="3380"/>
            <w:tcMar>
              <w:top w:type="dxa" w:w="80"/>
              <w:left w:type="dxa" w:w="110"/>
              <w:bottom w:type="dxa" w:w="80"/>
              <w:right w:type="dxa" w:w="110"/>
            </w:tcMar>
          </w:tcPr>
          <w:p>
            <w:pPr>
              <w:spacing w:after="0" w:line="260"/>
            </w:pPr>
            <w:r>
              <w:rPr>
                <w:rFonts w:ascii="Calibri" w:cs="Calibri" w:eastAsia="Calibri" w:hAnsi="Calibri"/>
                <w:sz w:val="19"/>
                <w:szCs w:val="19"/>
              </w:rPr>
              <w:t xml:space="preserve">A1 / B3 — must hold at or above high single digits in Q3'26 with the full price increase in effect.</w:t>
            </w:r>
          </w:p>
        </w:tc>
      </w:tr>
      <w:tr>
        <w:tc>
          <w:tcPr>
            <w:tcW w:type="dxa" w:w="2300"/>
            <w:tcMar>
              <w:top w:type="dxa" w:w="80"/>
              <w:left w:type="dxa" w:w="110"/>
              <w:bottom w:type="dxa" w:w="80"/>
              <w:right w:type="dxa" w:w="110"/>
            </w:tcMar>
          </w:tcPr>
          <w:p>
            <w:pPr>
              <w:spacing w:after="0" w:line="260"/>
            </w:pPr>
            <w:r>
              <w:rPr>
                <w:rFonts w:ascii="Calibri" w:cs="Calibri" w:eastAsia="Calibri" w:hAnsi="Calibri"/>
                <w:sz w:val="19"/>
                <w:szCs w:val="19"/>
              </w:rPr>
              <w:t xml:space="preserve">Content amortization vs. revenue growth</w:t>
            </w:r>
          </w:p>
        </w:tc>
        <w:tc>
          <w:tcPr>
            <w:tcW w:type="dxa" w:w="2500"/>
            <w:tcMar>
              <w:top w:type="dxa" w:w="80"/>
              <w:left w:type="dxa" w:w="110"/>
              <w:bottom w:type="dxa" w:w="80"/>
              <w:right w:type="dxa" w:w="110"/>
            </w:tcMar>
          </w:tcPr>
          <w:p>
            <w:pPr>
              <w:spacing w:after="0" w:line="260"/>
            </w:pPr>
            <w:r>
              <w:rPr>
                <w:rFonts w:ascii="Calibri" w:cs="Calibri" w:eastAsia="Calibri" w:hAnsi="Calibri"/>
                <w:sz w:val="19"/>
                <w:szCs w:val="19"/>
              </w:rPr>
              <w:t xml:space="preserve">~+10% guided 2026 vs. revenue +13–14%</w:t>
            </w:r>
          </w:p>
        </w:tc>
        <w:tc>
          <w:tcPr>
            <w:tcW w:type="dxa" w:w="1900"/>
            <w:tcMar>
              <w:top w:type="dxa" w:w="80"/>
              <w:left w:type="dxa" w:w="110"/>
              <w:bottom w:type="dxa" w:w="80"/>
              <w:right w:type="dxa" w:w="110"/>
            </w:tcMar>
          </w:tcPr>
          <w:p>
            <w:pPr>
              <w:spacing w:after="0" w:line="260"/>
            </w:pPr>
            <w:r>
              <w:rPr>
                <w:rFonts w:ascii="Calibri" w:cs="Calibri" w:eastAsia="Calibri" w:hAnsi="Calibri"/>
                <w:sz w:val="19"/>
                <w:szCs w:val="19"/>
              </w:rPr>
              <w:t xml:space="preserve">Q2'26 letter</w:t>
            </w:r>
          </w:p>
        </w:tc>
        <w:tc>
          <w:tcPr>
            <w:tcW w:type="dxa" w:w="3380"/>
            <w:tcMar>
              <w:top w:type="dxa" w:w="80"/>
              <w:left w:type="dxa" w:w="110"/>
              <w:bottom w:type="dxa" w:w="80"/>
              <w:right w:type="dxa" w:w="110"/>
            </w:tcMar>
          </w:tcPr>
          <w:p>
            <w:pPr>
              <w:spacing w:after="0" w:line="260"/>
            </w:pPr>
            <w:r>
              <w:rPr>
                <w:rFonts w:ascii="Calibri" w:cs="Calibri" w:eastAsia="Calibri" w:hAnsi="Calibri"/>
                <w:sz w:val="19"/>
                <w:szCs w:val="19"/>
              </w:rPr>
              <w:t xml:space="preserve">A3 / B1 — convergence kills the operating leverage behind the margin story.</w:t>
            </w:r>
          </w:p>
        </w:tc>
      </w:tr>
      <w:tr>
        <w:tc>
          <w:tcPr>
            <w:tcW w:type="dxa" w:w="2300"/>
            <w:tcMar>
              <w:top w:type="dxa" w:w="80"/>
              <w:left w:type="dxa" w:w="110"/>
              <w:bottom w:type="dxa" w:w="80"/>
              <w:right w:type="dxa" w:w="110"/>
            </w:tcMar>
          </w:tcPr>
          <w:p>
            <w:pPr>
              <w:spacing w:after="0" w:line="260"/>
            </w:pPr>
            <w:r>
              <w:rPr>
                <w:rFonts w:ascii="Calibri" w:cs="Calibri" w:eastAsia="Calibri" w:hAnsi="Calibri"/>
                <w:sz w:val="19"/>
                <w:szCs w:val="19"/>
              </w:rPr>
              <w:t xml:space="preserve">Cash content spend / amortization</w:t>
            </w:r>
          </w:p>
        </w:tc>
        <w:tc>
          <w:tcPr>
            <w:tcW w:type="dxa" w:w="2500"/>
            <w:tcMar>
              <w:top w:type="dxa" w:w="80"/>
              <w:left w:type="dxa" w:w="110"/>
              <w:bottom w:type="dxa" w:w="80"/>
              <w:right w:type="dxa" w:w="110"/>
            </w:tcMar>
          </w:tcPr>
          <w:p>
            <w:pPr>
              <w:spacing w:after="0" w:line="260"/>
            </w:pPr>
            <w:r>
              <w:rPr>
                <w:rFonts w:ascii="Calibri" w:cs="Calibri" w:eastAsia="Calibri" w:hAnsi="Calibri"/>
                <w:sz w:val="19"/>
                <w:szCs w:val="19"/>
              </w:rPr>
              <w:t xml:space="preserve">1.04x FY2025 ($17.1B vs. $16.4B); ~1.1x guided 2026</w:t>
            </w:r>
          </w:p>
        </w:tc>
        <w:tc>
          <w:tcPr>
            <w:tcW w:type="dxa" w:w="1900"/>
            <w:tcMar>
              <w:top w:type="dxa" w:w="80"/>
              <w:left w:type="dxa" w:w="110"/>
              <w:bottom w:type="dxa" w:w="80"/>
              <w:right w:type="dxa" w:w="110"/>
            </w:tcMar>
          </w:tcPr>
          <w:p>
            <w:pPr>
              <w:spacing w:after="0" w:line="260"/>
            </w:pPr>
            <w:r>
              <w:rPr>
                <w:rFonts w:ascii="Calibri" w:cs="Calibri" w:eastAsia="Calibri" w:hAnsi="Calibri"/>
                <w:sz w:val="19"/>
                <w:szCs w:val="19"/>
              </w:rPr>
              <w:t xml:space="preserve">FY2025 10-K; Q2'26 letter</w:t>
            </w:r>
          </w:p>
        </w:tc>
        <w:tc>
          <w:tcPr>
            <w:tcW w:type="dxa" w:w="3380"/>
            <w:tcMar>
              <w:top w:type="dxa" w:w="80"/>
              <w:left w:type="dxa" w:w="110"/>
              <w:bottom w:type="dxa" w:w="80"/>
              <w:right w:type="dxa" w:w="110"/>
            </w:tcMar>
          </w:tcPr>
          <w:p>
            <w:pPr>
              <w:spacing w:after="0" w:line="260"/>
            </w:pPr>
            <w:r>
              <w:rPr>
                <w:rFonts w:ascii="Calibri" w:cs="Calibri" w:eastAsia="Calibri" w:hAnsi="Calibri"/>
                <w:sz w:val="19"/>
                <w:szCs w:val="19"/>
              </w:rPr>
              <w:t xml:space="preserve">B1 — drift above ~1.15x means cash is committed well ahead of P&amp;L cost.</w:t>
            </w:r>
          </w:p>
        </w:tc>
      </w:tr>
      <w:tr>
        <w:tc>
          <w:tcPr>
            <w:tcW w:type="dxa" w:w="2300"/>
            <w:tcMar>
              <w:top w:type="dxa" w:w="80"/>
              <w:left w:type="dxa" w:w="110"/>
              <w:bottom w:type="dxa" w:w="80"/>
              <w:right w:type="dxa" w:w="110"/>
            </w:tcMar>
          </w:tcPr>
          <w:p>
            <w:pPr>
              <w:spacing w:after="0" w:line="260"/>
            </w:pPr>
            <w:r>
              <w:rPr>
                <w:rFonts w:ascii="Calibri" w:cs="Calibri" w:eastAsia="Calibri" w:hAnsi="Calibri"/>
                <w:sz w:val="19"/>
                <w:szCs w:val="19"/>
              </w:rPr>
              <w:t xml:space="preserve">Ads revenue / materiality language</w:t>
            </w:r>
          </w:p>
        </w:tc>
        <w:tc>
          <w:tcPr>
            <w:tcW w:type="dxa" w:w="2500"/>
            <w:tcMar>
              <w:top w:type="dxa" w:w="80"/>
              <w:left w:type="dxa" w:w="110"/>
              <w:bottom w:type="dxa" w:w="80"/>
              <w:right w:type="dxa" w:w="110"/>
            </w:tcMar>
          </w:tcPr>
          <w:p>
            <w:pPr>
              <w:spacing w:after="0" w:line="260"/>
            </w:pPr>
            <w:r>
              <w:rPr>
                <w:rFonts w:ascii="Calibri" w:cs="Calibri" w:eastAsia="Calibri" w:hAnsi="Calibri"/>
                <w:sz w:val="19"/>
                <w:szCs w:val="19"/>
              </w:rPr>
              <w:t xml:space="preserve">~$3B target 2026; "not a material component" in FY2025 10-K</w:t>
            </w:r>
          </w:p>
        </w:tc>
        <w:tc>
          <w:tcPr>
            <w:tcW w:type="dxa" w:w="1900"/>
            <w:tcMar>
              <w:top w:type="dxa" w:w="80"/>
              <w:left w:type="dxa" w:w="110"/>
              <w:bottom w:type="dxa" w:w="80"/>
              <w:right w:type="dxa" w:w="110"/>
            </w:tcMar>
          </w:tcPr>
          <w:p>
            <w:pPr>
              <w:spacing w:after="0" w:line="260"/>
            </w:pPr>
            <w:r>
              <w:rPr>
                <w:rFonts w:ascii="Calibri" w:cs="Calibri" w:eastAsia="Calibri" w:hAnsi="Calibri"/>
                <w:sz w:val="19"/>
                <w:szCs w:val="19"/>
              </w:rPr>
              <w:t xml:space="preserve">FY2025 10-K; Q2'26 letter</w:t>
            </w:r>
          </w:p>
        </w:tc>
        <w:tc>
          <w:tcPr>
            <w:tcW w:type="dxa" w:w="3380"/>
            <w:tcMar>
              <w:top w:type="dxa" w:w="80"/>
              <w:left w:type="dxa" w:w="110"/>
              <w:bottom w:type="dxa" w:w="80"/>
              <w:right w:type="dxa" w:w="110"/>
            </w:tcMar>
          </w:tcPr>
          <w:p>
            <w:pPr>
              <w:spacing w:after="0" w:line="260"/>
            </w:pPr>
            <w:r>
              <w:rPr>
                <w:rFonts w:ascii="Calibri" w:cs="Calibri" w:eastAsia="Calibri" w:hAnsi="Calibri"/>
                <w:sz w:val="19"/>
                <w:szCs w:val="19"/>
              </w:rPr>
              <w:t xml:space="preserve">A2 / B4 — dropping that language in the FY2026 10-K is the first hard confirmation.</w:t>
            </w:r>
          </w:p>
        </w:tc>
      </w:tr>
      <w:tr>
        <w:tc>
          <w:tcPr>
            <w:tcW w:type="dxa" w:w="2300"/>
            <w:tcMar>
              <w:top w:type="dxa" w:w="80"/>
              <w:left w:type="dxa" w:w="110"/>
              <w:bottom w:type="dxa" w:w="80"/>
              <w:right w:type="dxa" w:w="110"/>
            </w:tcMar>
          </w:tcPr>
          <w:p>
            <w:pPr>
              <w:spacing w:after="0" w:line="260"/>
            </w:pPr>
            <w:r>
              <w:rPr>
                <w:rFonts w:ascii="Calibri" w:cs="Calibri" w:eastAsia="Calibri" w:hAnsi="Calibri"/>
                <w:sz w:val="19"/>
                <w:szCs w:val="19"/>
              </w:rPr>
              <w:t xml:space="preserve">Full-year operating margin</w:t>
            </w:r>
          </w:p>
        </w:tc>
        <w:tc>
          <w:tcPr>
            <w:tcW w:type="dxa" w:w="2500"/>
            <w:tcMar>
              <w:top w:type="dxa" w:w="80"/>
              <w:left w:type="dxa" w:w="110"/>
              <w:bottom w:type="dxa" w:w="80"/>
              <w:right w:type="dxa" w:w="110"/>
            </w:tcMar>
          </w:tcPr>
          <w:p>
            <w:pPr>
              <w:spacing w:after="0" w:line="260"/>
            </w:pPr>
            <w:r>
              <w:rPr>
                <w:rFonts w:ascii="Calibri" w:cs="Calibri" w:eastAsia="Calibri" w:hAnsi="Calibri"/>
                <w:sz w:val="19"/>
                <w:szCs w:val="19"/>
              </w:rPr>
              <w:t xml:space="preserve">29.5% FY2025; 31.5% guided 2026; H1'26 ran 32.8%, implying ~30% in H2'26</w:t>
            </w:r>
          </w:p>
        </w:tc>
        <w:tc>
          <w:tcPr>
            <w:tcW w:type="dxa" w:w="1900"/>
            <w:tcMar>
              <w:top w:type="dxa" w:w="80"/>
              <w:left w:type="dxa" w:w="110"/>
              <w:bottom w:type="dxa" w:w="80"/>
              <w:right w:type="dxa" w:w="110"/>
            </w:tcMar>
          </w:tcPr>
          <w:p>
            <w:pPr>
              <w:spacing w:after="0" w:line="260"/>
            </w:pPr>
            <w:r>
              <w:rPr>
                <w:rFonts w:ascii="Calibri" w:cs="Calibri" w:eastAsia="Calibri" w:hAnsi="Calibri"/>
                <w:sz w:val="19"/>
                <w:szCs w:val="19"/>
              </w:rPr>
              <w:t xml:space="preserve">FY2025 10-K; Q2'26 letter</w:t>
            </w:r>
          </w:p>
        </w:tc>
        <w:tc>
          <w:tcPr>
            <w:tcW w:type="dxa" w:w="3380"/>
            <w:tcMar>
              <w:top w:type="dxa" w:w="80"/>
              <w:left w:type="dxa" w:w="110"/>
              <w:bottom w:type="dxa" w:w="80"/>
              <w:right w:type="dxa" w:w="110"/>
            </w:tcMar>
          </w:tcPr>
          <w:p>
            <w:pPr>
              <w:spacing w:after="0" w:line="260"/>
            </w:pPr>
            <w:r>
              <w:rPr>
                <w:rFonts w:ascii="Calibri" w:cs="Calibri" w:eastAsia="Calibri" w:hAnsi="Calibri"/>
                <w:sz w:val="19"/>
                <w:szCs w:val="19"/>
              </w:rPr>
              <w:t xml:space="preserve">A3 — the H2 step-down is expected from amortization phasing; a miss below it is not.</w:t>
            </w:r>
          </w:p>
        </w:tc>
      </w:tr>
      <w:tr>
        <w:tc>
          <w:tcPr>
            <w:tcW w:type="dxa" w:w="2300"/>
            <w:tcMar>
              <w:top w:type="dxa" w:w="80"/>
              <w:left w:type="dxa" w:w="110"/>
              <w:bottom w:type="dxa" w:w="80"/>
              <w:right w:type="dxa" w:w="110"/>
            </w:tcMar>
          </w:tcPr>
          <w:p>
            <w:pPr>
              <w:spacing w:after="0" w:line="260"/>
            </w:pPr>
            <w:r>
              <w:rPr>
                <w:rFonts w:ascii="Calibri" w:cs="Calibri" w:eastAsia="Calibri" w:hAnsi="Calibri"/>
                <w:sz w:val="19"/>
                <w:szCs w:val="19"/>
              </w:rPr>
              <w:t xml:space="preserve">View hours growth</w:t>
            </w:r>
          </w:p>
        </w:tc>
        <w:tc>
          <w:tcPr>
            <w:tcW w:type="dxa" w:w="2500"/>
            <w:tcMar>
              <w:top w:type="dxa" w:w="80"/>
              <w:left w:type="dxa" w:w="110"/>
              <w:bottom w:type="dxa" w:w="80"/>
              <w:right w:type="dxa" w:w="110"/>
            </w:tcMar>
          </w:tcPr>
          <w:p>
            <w:pPr>
              <w:spacing w:after="0" w:line="260"/>
            </w:pPr>
            <w:r>
              <w:rPr>
                <w:rFonts w:ascii="Calibri" w:cs="Calibri" w:eastAsia="Calibri" w:hAnsi="Calibri"/>
                <w:sz w:val="19"/>
                <w:szCs w:val="19"/>
              </w:rPr>
              <w:t xml:space="preserve">+2% H1'26 (97B+ hours) vs. +1.5% FY2025</w:t>
            </w:r>
          </w:p>
        </w:tc>
        <w:tc>
          <w:tcPr>
            <w:tcW w:type="dxa" w:w="1900"/>
            <w:tcMar>
              <w:top w:type="dxa" w:w="80"/>
              <w:left w:type="dxa" w:w="110"/>
              <w:bottom w:type="dxa" w:w="80"/>
              <w:right w:type="dxa" w:w="110"/>
            </w:tcMar>
          </w:tcPr>
          <w:p>
            <w:pPr>
              <w:spacing w:after="0" w:line="260"/>
            </w:pPr>
            <w:r>
              <w:rPr>
                <w:rFonts w:ascii="Calibri" w:cs="Calibri" w:eastAsia="Calibri" w:hAnsi="Calibri"/>
                <w:sz w:val="19"/>
                <w:szCs w:val="19"/>
              </w:rPr>
              <w:t xml:space="preserve">Q2'26 letter</w:t>
            </w:r>
          </w:p>
        </w:tc>
        <w:tc>
          <w:tcPr>
            <w:tcW w:type="dxa" w:w="3380"/>
            <w:tcMar>
              <w:top w:type="dxa" w:w="80"/>
              <w:left w:type="dxa" w:w="110"/>
              <w:bottom w:type="dxa" w:w="80"/>
              <w:right w:type="dxa" w:w="110"/>
            </w:tcMar>
          </w:tcPr>
          <w:p>
            <w:pPr>
              <w:spacing w:after="0" w:line="260"/>
            </w:pPr>
            <w:r>
              <w:rPr>
                <w:rFonts w:ascii="Calibri" w:cs="Calibri" w:eastAsia="Calibri" w:hAnsi="Calibri"/>
                <w:sz w:val="19"/>
                <w:szCs w:val="19"/>
              </w:rPr>
              <w:t xml:space="preserve">A4 / B2 — flat-to-up supports further price increases; publication moves to annual from 2027.</w:t>
            </w:r>
          </w:p>
        </w:tc>
      </w:tr>
      <w:tr>
        <w:tc>
          <w:tcPr>
            <w:tcW w:type="dxa" w:w="2300"/>
            <w:tcMar>
              <w:top w:type="dxa" w:w="80"/>
              <w:left w:type="dxa" w:w="110"/>
              <w:bottom w:type="dxa" w:w="80"/>
              <w:right w:type="dxa" w:w="110"/>
            </w:tcMar>
          </w:tcPr>
          <w:p>
            <w:pPr>
              <w:spacing w:after="0" w:line="260"/>
            </w:pPr>
            <w:r>
              <w:rPr>
                <w:rFonts w:ascii="Calibri" w:cs="Calibri" w:eastAsia="Calibri" w:hAnsi="Calibri"/>
                <w:sz w:val="19"/>
                <w:szCs w:val="19"/>
              </w:rPr>
              <w:t xml:space="preserve">Content obligations due within 12 months</w:t>
            </w:r>
          </w:p>
        </w:tc>
        <w:tc>
          <w:tcPr>
            <w:tcW w:type="dxa" w:w="2500"/>
            <w:tcMar>
              <w:top w:type="dxa" w:w="80"/>
              <w:left w:type="dxa" w:w="110"/>
              <w:bottom w:type="dxa" w:w="80"/>
              <w:right w:type="dxa" w:w="110"/>
            </w:tcMar>
          </w:tcPr>
          <w:p>
            <w:pPr>
              <w:spacing w:after="0" w:line="260"/>
            </w:pPr>
            <w:r>
              <w:rPr>
                <w:rFonts w:ascii="Calibri" w:cs="Calibri" w:eastAsia="Calibri" w:hAnsi="Calibri"/>
                <w:sz w:val="19"/>
                <w:szCs w:val="19"/>
              </w:rPr>
              <w:t xml:space="preserve">$11.5B of $24.0B, plus $1–4B unknown-title over three years</w:t>
            </w:r>
          </w:p>
        </w:tc>
        <w:tc>
          <w:tcPr>
            <w:tcW w:type="dxa" w:w="1900"/>
            <w:tcMar>
              <w:top w:type="dxa" w:w="80"/>
              <w:left w:type="dxa" w:w="110"/>
              <w:bottom w:type="dxa" w:w="80"/>
              <w:right w:type="dxa" w:w="110"/>
            </w:tcMar>
          </w:tcPr>
          <w:p>
            <w:pPr>
              <w:spacing w:after="0" w:line="260"/>
            </w:pPr>
            <w:r>
              <w:rPr>
                <w:rFonts w:ascii="Calibri" w:cs="Calibri" w:eastAsia="Calibri" w:hAnsi="Calibri"/>
                <w:sz w:val="19"/>
                <w:szCs w:val="19"/>
              </w:rPr>
              <w:t xml:space="preserve">FY2025 10-K</w:t>
            </w:r>
          </w:p>
        </w:tc>
        <w:tc>
          <w:tcPr>
            <w:tcW w:type="dxa" w:w="3380"/>
            <w:tcMar>
              <w:top w:type="dxa" w:w="80"/>
              <w:left w:type="dxa" w:w="110"/>
              <w:bottom w:type="dxa" w:w="80"/>
              <w:right w:type="dxa" w:w="110"/>
            </w:tcMar>
          </w:tcPr>
          <w:p>
            <w:pPr>
              <w:spacing w:after="0" w:line="260"/>
            </w:pPr>
            <w:r>
              <w:rPr>
                <w:rFonts w:ascii="Calibri" w:cs="Calibri" w:eastAsia="Calibri" w:hAnsi="Calibri"/>
                <w:sz w:val="19"/>
                <w:szCs w:val="19"/>
              </w:rPr>
              <w:t xml:space="preserve">B1 — the part of the cost base that cannot be cut if revenue disappoints.</w:t>
            </w:r>
          </w:p>
        </w:tc>
      </w:tr>
      <w:tr>
        <w:tc>
          <w:tcPr>
            <w:tcW w:type="dxa" w:w="2300"/>
            <w:tcMar>
              <w:top w:type="dxa" w:w="80"/>
              <w:left w:type="dxa" w:w="110"/>
              <w:bottom w:type="dxa" w:w="80"/>
              <w:right w:type="dxa" w:w="110"/>
            </w:tcMar>
          </w:tcPr>
          <w:p>
            <w:pPr>
              <w:spacing w:after="0" w:line="260"/>
            </w:pPr>
            <w:r>
              <w:rPr>
                <w:rFonts w:ascii="Calibri" w:cs="Calibri" w:eastAsia="Calibri" w:hAnsi="Calibri"/>
                <w:sz w:val="19"/>
                <w:szCs w:val="19"/>
              </w:rPr>
              <w:t xml:space="preserve">Repurchase pace vs. M&amp;A; net debt</w:t>
            </w:r>
          </w:p>
        </w:tc>
        <w:tc>
          <w:tcPr>
            <w:tcW w:type="dxa" w:w="2500"/>
            <w:tcMar>
              <w:top w:type="dxa" w:w="80"/>
              <w:left w:type="dxa" w:w="110"/>
              <w:bottom w:type="dxa" w:w="80"/>
              <w:right w:type="dxa" w:w="110"/>
            </w:tcMar>
          </w:tcPr>
          <w:p>
            <w:pPr>
              <w:spacing w:after="0" w:line="260"/>
            </w:pPr>
            <w:r>
              <w:rPr>
                <w:rFonts w:ascii="Calibri" w:cs="Calibri" w:eastAsia="Calibri" w:hAnsi="Calibri"/>
                <w:sz w:val="19"/>
                <w:szCs w:val="19"/>
              </w:rPr>
              <w:t xml:space="preserve">$4.7B repurchased Q2'26; $27.1B capacity; net debt ~$5.3B</w:t>
            </w:r>
          </w:p>
        </w:tc>
        <w:tc>
          <w:tcPr>
            <w:tcW w:type="dxa" w:w="1900"/>
            <w:tcMar>
              <w:top w:type="dxa" w:w="80"/>
              <w:left w:type="dxa" w:w="110"/>
              <w:bottom w:type="dxa" w:w="80"/>
              <w:right w:type="dxa" w:w="110"/>
            </w:tcMar>
          </w:tcPr>
          <w:p>
            <w:pPr>
              <w:spacing w:after="0" w:line="260"/>
            </w:pPr>
            <w:r>
              <w:rPr>
                <w:rFonts w:ascii="Calibri" w:cs="Calibri" w:eastAsia="Calibri" w:hAnsi="Calibri"/>
                <w:sz w:val="19"/>
                <w:szCs w:val="19"/>
              </w:rPr>
              <w:t xml:space="preserve">Q2'26 letter; FY2025 10-K</w:t>
            </w:r>
          </w:p>
        </w:tc>
        <w:tc>
          <w:tcPr>
            <w:tcW w:type="dxa" w:w="3380"/>
            <w:tcMar>
              <w:top w:type="dxa" w:w="80"/>
              <w:left w:type="dxa" w:w="110"/>
              <w:bottom w:type="dxa" w:w="80"/>
              <w:right w:type="dxa" w:w="110"/>
            </w:tcMar>
          </w:tcPr>
          <w:p>
            <w:pPr>
              <w:spacing w:after="0" w:line="260"/>
            </w:pPr>
            <w:r>
              <w:rPr>
                <w:rFonts w:ascii="Calibri" w:cs="Calibri" w:eastAsia="Calibri" w:hAnsi="Calibri"/>
                <w:sz w:val="19"/>
                <w:szCs w:val="19"/>
              </w:rPr>
              <w:t xml:space="preserve">A5 / B5 — repurchases pausing while capacity remains is the tell that another deal is in progress.</w:t>
            </w:r>
          </w:p>
        </w:tc>
      </w:tr>
    </w:tbl>
    <w:p>
      <w:pPr>
        <w:pStyle w:val="Heading1"/>
        <w:spacing w:after="140" w:before="300"/>
      </w:pPr>
      <w:r>
        <w:rPr>
          <w:rFonts w:ascii="Calibri" w:cs="Calibri" w:eastAsia="Calibri" w:hAnsi="Calibri"/>
          <w:b/>
          <w:bCs/>
          <w:sz w:val="26"/>
          <w:szCs w:val="26"/>
        </w:rPr>
        <w:t xml:space="preserve">5. Bottom line</w:t>
      </w:r>
    </w:p>
    <w:p>
      <w:pPr>
        <w:spacing w:after="120" w:line="276"/>
      </w:pPr>
      <w:r>
        <w:rPr>
          <w:rFonts w:ascii="Calibri" w:cs="Calibri" w:eastAsia="Calibri" w:hAnsi="Calibri"/>
          <w:i/>
          <w:iCs/>
          <w:color w:val="888888"/>
          <w:sz w:val="18"/>
          <w:szCs w:val="18"/>
        </w:rPr>
        <w:t xml:space="preserve">(Section on external challenge notes omitted — not requested. Run "external challenge" to add it.)</w:t>
      </w:r>
    </w:p>
    <w:p>
      <w:pPr>
        <w:spacing w:after="100" w:line="276"/>
        <w:ind w:left="340"/>
      </w:pPr>
      <w:r>
        <w:rPr>
          <w:rFonts w:ascii="Calibri" w:cs="Calibri" w:eastAsia="Calibri" w:hAnsi="Calibri"/>
          <w:b/>
          <w:bCs/>
          <w:color w:val="333333"/>
          <w:sz w:val="20"/>
          <w:szCs w:val="20"/>
        </w:rPr>
        <w:t xml:space="preserve">1.  </w:t>
      </w:r>
      <w:r>
        <w:rPr>
          <w:rFonts w:ascii="Calibri" w:cs="Calibri" w:eastAsia="Calibri" w:hAnsi="Calibri"/>
          <w:sz w:val="21"/>
          <w:szCs w:val="21"/>
        </w:rPr>
        <w:t xml:space="preserve">Netflix could work because content is a global fixed cost and both growth levers — price and advertising — land on that cost base at very high incremental margin, which is why operating margin has risen nine points across 2023–2025 while revenue compounded in the mid-teens.</w:t>
      </w:r>
    </w:p>
    <w:p>
      <w:pPr>
        <w:spacing w:after="100" w:line="276"/>
        <w:ind w:left="340"/>
      </w:pPr>
      <w:r>
        <w:rPr>
          <w:rFonts w:ascii="Calibri" w:cs="Calibri" w:eastAsia="Calibri" w:hAnsi="Calibri"/>
          <w:b/>
          <w:bCs/>
          <w:color w:val="333333"/>
          <w:sz w:val="20"/>
          <w:szCs w:val="20"/>
        </w:rPr>
        <w:t xml:space="preserve">2.  </w:t>
      </w:r>
      <w:r>
        <w:rPr>
          <w:rFonts w:ascii="Calibri" w:cs="Calibri" w:eastAsia="Calibri" w:hAnsi="Calibri"/>
          <w:sz w:val="21"/>
          <w:szCs w:val="21"/>
        </w:rPr>
        <w:t xml:space="preserve">What must go right is that price increases keep clearing in UCAN, already mature at 44% of revenue, while advertising scales from immaterial to roughly $3B and content amortization stays in the high single digits.</w:t>
      </w:r>
    </w:p>
    <w:p>
      <w:pPr>
        <w:spacing w:after="100" w:line="276"/>
        <w:ind w:left="340"/>
      </w:pPr>
      <w:r>
        <w:rPr>
          <w:rFonts w:ascii="Calibri" w:cs="Calibri" w:eastAsia="Calibri" w:hAnsi="Calibri"/>
          <w:b/>
          <w:bCs/>
          <w:color w:val="333333"/>
          <w:sz w:val="20"/>
          <w:szCs w:val="20"/>
        </w:rPr>
        <w:t xml:space="preserve">3.  </w:t>
      </w:r>
      <w:r>
        <w:rPr>
          <w:rFonts w:ascii="Calibri" w:cs="Calibri" w:eastAsia="Calibri" w:hAnsi="Calibri"/>
          <w:sz w:val="21"/>
          <w:szCs w:val="21"/>
        </w:rPr>
        <w:t xml:space="preserve">The thesis most likely breaks through the commitment book: $24.0B of content obligations with $11.5B due inside a year, and cash spend re-accelerating to ~1.1x of amortization, means the cost base cannot flex down for two to three years if pricing stops clearing.</w:t>
      </w:r>
    </w:p>
    <w:p>
      <w:pPr>
        <w:spacing w:after="100" w:line="276"/>
        <w:ind w:left="340"/>
      </w:pPr>
      <w:r>
        <w:rPr>
          <w:rFonts w:ascii="Calibri" w:cs="Calibri" w:eastAsia="Calibri" w:hAnsi="Calibri"/>
          <w:b/>
          <w:bCs/>
          <w:color w:val="333333"/>
          <w:sz w:val="20"/>
          <w:szCs w:val="20"/>
        </w:rPr>
        <w:t xml:space="preserve">4.  </w:t>
      </w:r>
      <w:r>
        <w:rPr>
          <w:rFonts w:ascii="Calibri" w:cs="Calibri" w:eastAsia="Calibri" w:hAnsi="Calibri"/>
          <w:sz w:val="21"/>
          <w:szCs w:val="21"/>
        </w:rPr>
        <w:t xml:space="preserve">The evidence that would change my mind is UCAN growth in Q3'26 with the full price increase in effect — high single digits or better keeps the pricing assumption alive, a step toward mid single digits says the ceiling is reached — with the FY2026 10-K's treatment of non-membership revenue as the matching test for advertising.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2026-09-09T10:50:25.460Z</dcterms:created>
  <dcterms:modified xsi:type="dcterms:W3CDTF">2026-09-09T10:50:25.460Z</dcterms:modified>
</cp:coreProperties>
</file>

<file path=docProps/custom.xml><?xml version="1.0" encoding="utf-8"?>
<Properties xmlns="http://schemas.openxmlformats.org/officeDocument/2006/custom-properties" xmlns:vt="http://schemas.openxmlformats.org/officeDocument/2006/docPropsVTypes"/>
</file>