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rFonts w:ascii="宋体" w:hAnsi="宋体" w:cs="宋体"/>
          <w:vanish/>
          <w:kern w:val="0"/>
          <w:sz w:val="24"/>
        </w:rPr>
      </w:pPr>
      <w:r>
        <w:rPr>
          <w:rFonts w:cs="宋体" w:ascii="Arial Unicode MS" w:hAnsi="Arial Unicode MS" w:eastAsia="Arial Unicode MS"/>
          <w:vanish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 w:hint="eastAsia"/>
          <w:vanish/>
          <w:kern w:val="0"/>
          <w:sz w:val="24"/>
        </w:rPr>
      </w:pPr>
      <w:r>
        <w:rPr>
          <w:rFonts w:cs="宋体" w:hint="eastAsia" w:ascii="Arial Unicode MS" w:hAnsi="Arial Unicode MS" w:eastAsia="Arial Unicode MS"/>
          <w:vanish/>
          <w:kern w:val="0"/>
          <w:sz w:val="24"/>
        </w:rPr>
      </w:r>
    </w:p>
    <w:p>
      <w:pPr>
        <w:pStyle w:val="Normal"/>
        <w:widowControl/>
        <w:spacing w:lineRule="atLeast" w:line="375"/>
        <w:jc w:val="center"/>
        <w:rPr>
          <w:rFonts w:ascii="黑体" w:hAnsi="黑体" w:eastAsia="黑体" w:cs="宋体"/>
          <w:spacing w:val="15"/>
          <w:kern w:val="0"/>
          <w:sz w:val="30"/>
          <w:szCs w:val="30"/>
        </w:rPr>
      </w:pPr>
      <w:r>
        <w:rPr>
          <w:rFonts w:ascii="Arial Unicode MS" w:hAnsi="Arial Unicode MS" w:cs="宋体" w:hint="eastAsia" w:eastAsia="Arial Unicode MS"/>
          <w:spacing w:val="15"/>
          <w:kern w:val="0"/>
          <w:sz w:val="30"/>
          <w:szCs w:val="30"/>
        </w:rPr>
        <w:t>计算机软件著作权登记申请表</w:t>
      </w:r>
    </w:p>
    <w:p>
      <w:pPr>
        <w:pStyle w:val="Normal"/>
        <w:widowControl/>
        <w:spacing w:lineRule="atLeast" w:line="375"/>
        <w:jc w:val="center"/>
        <w:rPr>
          <w:rFonts w:ascii="黑体" w:hAnsi="黑体" w:eastAsia="黑体" w:cs="宋体" w:hint="eastAsia"/>
          <w:spacing w:val="15"/>
          <w:kern w:val="0"/>
          <w:sz w:val="30"/>
          <w:szCs w:val="30"/>
        </w:rPr>
      </w:pPr>
      <w:r>
        <w:rPr>
          <w:rFonts w:eastAsia="Arial Unicode MS" w:cs="宋体" w:hint="eastAsia" w:ascii="Arial Unicode MS" w:hAnsi="Arial Unicode MS"/>
          <w:spacing w:val="15"/>
          <w:kern w:val="0"/>
          <w:sz w:val="30"/>
          <w:szCs w:val="30"/>
        </w:rPr>
      </w:r>
    </w:p>
    <w:p>
      <w:pPr>
        <w:pStyle w:val="Normal"/>
        <w:widowControl/>
        <w:jc w:val="center"/>
        <w:rPr>
          <w:rFonts w:ascii="宋体" w:hAnsi="宋体" w:eastAsia="黑体" w:cs="宋体" w:hint="eastAsia"/>
          <w:vanish/>
          <w:spacing w:val="15"/>
          <w:kern w:val="0"/>
          <w:sz w:val="24"/>
          <w:szCs w:val="30"/>
        </w:rPr>
      </w:pPr>
      <w:r>
        <w:rPr>
          <w:rFonts w:eastAsia="Arial Unicode MS" w:cs="宋体" w:hint="eastAsia" w:ascii="Arial Unicode MS" w:hAnsi="Arial Unicode MS"/>
          <w:vanish/>
          <w:spacing w:val="15"/>
          <w:kern w:val="0"/>
          <w:sz w:val="24"/>
          <w:szCs w:val="30"/>
        </w:rPr>
      </w:r>
    </w:p>
    <w:tbl>
      <w:tblPr>
        <w:tblW w:w="1022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9"/>
        <w:gridCol w:w="9682"/>
      </w:tblGrid>
      <w:tr>
        <w:trPr/>
        <w:tc>
          <w:tcPr>
            <w:tcW w:w="53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软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件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基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本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信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息</w:t>
            </w:r>
          </w:p>
        </w:tc>
        <w:tc>
          <w:tcPr>
            <w:tcW w:w="968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9651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883"/>
              <w:gridCol w:w="5574"/>
              <w:gridCol w:w="956"/>
              <w:gridCol w:w="1238"/>
            </w:tblGrid>
            <w:tr>
              <w:trPr>
                <w:trHeight w:val="1050" w:hRule="atLeast"/>
              </w:trPr>
              <w:tc>
                <w:tcPr>
                  <w:tcW w:w="188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软件名称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Cs w:val="21"/>
                    </w:rPr>
                    <w:t>（全称）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557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color w:val="FF0000"/>
                      <w:sz w:val="18"/>
                    </w:rPr>
                    <w:t>睿乐大脑系统</w:t>
                  </w:r>
                </w:p>
              </w:tc>
              <w:tc>
                <w:tcPr>
                  <w:tcW w:w="95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版本号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123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21"/>
                    </w:rPr>
                    <w:t>V0.7.0</w:t>
                  </w:r>
                </w:p>
              </w:tc>
            </w:tr>
            <w:tr>
              <w:trPr>
                <w:trHeight w:val="750" w:hRule="atLeast"/>
              </w:trPr>
              <w:tc>
                <w:tcPr>
                  <w:tcW w:w="188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557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color w:val="FF0000"/>
                      <w:sz w:val="18"/>
                    </w:rPr>
                    <w:t>睿乐大脑</w:t>
                  </w:r>
                </w:p>
              </w:tc>
              <w:tc>
                <w:tcPr>
                  <w:tcW w:w="95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center"/>
                    <w:rPr>
                      <w:rFonts w:ascii="宋体" w:hAnsi="宋体" w:cs="宋体" w:hint="eastAsia"/>
                      <w:color w:val="A6A6A6"/>
                      <w:kern w:val="0"/>
                      <w:sz w:val="20"/>
                      <w:szCs w:val="21"/>
                    </w:rPr>
                  </w:pPr>
                  <w:r>
                    <w:rPr>
                      <w:rFonts w:cs="宋体" w:hint="eastAsia" w:ascii="Arial Unicode MS" w:hAnsi="Arial Unicode MS" w:eastAsia="Arial Unicode MS"/>
                      <w:color w:val="A6A6A6"/>
                      <w:kern w:val="0"/>
                      <w:sz w:val="20"/>
                      <w:szCs w:val="21"/>
                    </w:rPr>
                  </w:r>
                </w:p>
              </w:tc>
              <w:tc>
                <w:tcPr>
                  <w:tcW w:w="123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宋体" w:hint="eastAsia" w:ascii="Arial Unicode MS" w:hAnsi="Arial Unicode MS" w:eastAsia="Arial Unicode MS"/>
                      <w:color w:val="FF0000"/>
                      <w:kern w:val="0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2850" w:hRule="atLeast"/>
              </w:trPr>
              <w:tc>
                <w:tcPr>
                  <w:tcW w:w="188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7768" w:type="dxa"/>
                  <w:gridSpan w:val="3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● 原创  ○ 修改(含翻译软件、合成软件) 原创软件作品说明：本软件由北京睿乐创科技有限公司自主研发完成，包含睿乐大脑系统的软件名称、界面交互、知识库管理、智能问答、记忆管理、知识发现、内容发芽、经营复盘、系统配置以及 mobile App 端采集能力等功能。</w:t>
                    <w:br/>
                    <w:t/>
                    <w:br/>
                    <w:t/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53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Arial Unicode MS" w:hAnsi="Arial Unicode MS" w:eastAsia="Arial Unicode MS"/>
                <w:kern w:val="0"/>
                <w:szCs w:val="21"/>
              </w:rPr>
            </w:r>
          </w:p>
        </w:tc>
        <w:tc>
          <w:tcPr>
            <w:tcW w:w="968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102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10190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2032"/>
              <w:gridCol w:w="8158"/>
            </w:tblGrid>
            <w:tr>
              <w:trPr>
                <w:trHeight w:val="450" w:hRule="atLeast"/>
              </w:trPr>
              <w:tc>
                <w:tcPr>
                  <w:tcW w:w="20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开发完成日期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815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9"/>
                    </w:rPr>
                    <w:t>2026年8月20日</w:t>
                  </w:r>
                </w:p>
              </w:tc>
            </w:tr>
            <w:tr>
              <w:trPr>
                <w:trHeight w:val="1200" w:hRule="atLeast"/>
              </w:trPr>
              <w:tc>
                <w:tcPr>
                  <w:tcW w:w="20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发表状态</w:t>
                  </w:r>
                </w:p>
              </w:tc>
              <w:tc>
                <w:tcPr>
                  <w:tcW w:w="815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待确认（如选择已发表，需补充首次发表日期和首次发表地点；如选择未发表，需与线上申请保持一致）</w:t>
                  </w:r>
                </w:p>
              </w:tc>
            </w:tr>
            <w:tr>
              <w:trPr>
                <w:trHeight w:val="450" w:hRule="atLeast"/>
              </w:trPr>
              <w:tc>
                <w:tcPr>
                  <w:tcW w:w="20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开发方式</w:t>
                  </w:r>
                </w:p>
              </w:tc>
              <w:tc>
                <w:tcPr>
                  <w:tcW w:w="815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8"/>
                    </w:rPr>
                    <w:t>● 独立开发  ○ 合作开发  ○ 委托开发  ○ 下达任务开发</w:t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53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著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作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权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人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Arial Unicode MS" w:hAnsi="Arial Unicode MS" w:cs="宋体" w:hint="eastAsia" w:eastAsia="Arial Unicode MS"/>
                <w:color w:val="FF0000"/>
                <w:sz w:val="24"/>
              </w:rPr>
              <w:t>必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Arial Unicode MS" w:hAnsi="Arial Unicode MS" w:cs="宋体" w:hint="eastAsia" w:eastAsia="Arial Unicode MS"/>
                <w:color w:val="FF0000"/>
                <w:sz w:val="24"/>
              </w:rPr>
              <w:t>填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  <w:szCs w:val="21"/>
              </w:rPr>
            </w:pPr>
            <w:r>
              <w:rPr>
                <w:rFonts w:ascii="Arial Unicode MS" w:hAnsi="Arial Unicode MS" w:cs="宋体" w:hint="eastAsia" w:eastAsia="Arial Unicode MS"/>
                <w:color w:val="FF0000"/>
                <w:kern w:val="0"/>
                <w:sz w:val="24"/>
                <w:szCs w:val="21"/>
              </w:rPr>
              <w:t>项</w:t>
            </w:r>
          </w:p>
        </w:tc>
        <w:tc>
          <w:tcPr>
            <w:tcW w:w="968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9651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2246"/>
              <w:gridCol w:w="806"/>
              <w:gridCol w:w="953"/>
              <w:gridCol w:w="1808"/>
              <w:gridCol w:w="806"/>
              <w:gridCol w:w="1662"/>
              <w:gridCol w:w="1370"/>
            </w:tblGrid>
            <w:tr>
              <w:trPr>
                <w:trHeight w:val="450" w:hRule="atLeast"/>
              </w:trPr>
              <w:tc>
                <w:tcPr>
                  <w:tcW w:w="22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95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180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证件号码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Cs w:val="21"/>
                    </w:rPr>
                    <w:t>（统一信用代码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国籍</w:t>
                  </w:r>
                </w:p>
              </w:tc>
              <w:tc>
                <w:tcPr>
                  <w:tcW w:w="166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省份</w:t>
                  </w:r>
                  <w:r>
                    <w:rPr>
                      <w:rFonts w:cs="宋体" w:ascii="Arial Unicode MS" w:hAnsi="Arial Unicode MS" w:eastAsia="Arial Unicode MS"/>
                      <w:kern w:val="0"/>
                      <w:szCs w:val="21"/>
                    </w:rPr>
                    <w:t>/</w:t>
                  </w: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城市</w:t>
                  </w:r>
                </w:p>
              </w:tc>
              <w:tc>
                <w:tcPr>
                  <w:tcW w:w="137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Cs w:val="21"/>
                    </w:rPr>
                    <w:t>详细地址</w:t>
                  </w:r>
                </w:p>
              </w:tc>
            </w:tr>
            <w:tr>
              <w:trPr>
                <w:trHeight w:val="750" w:hRule="atLeast"/>
              </w:trPr>
              <w:tc>
                <w:tcPr>
                  <w:tcW w:w="22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6"/>
                    </w:rPr>
                    <w:t>北京睿乐创科技有限公司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公司</w:t>
                  </w:r>
                </w:p>
              </w:tc>
              <w:tc>
                <w:tcPr>
                  <w:tcW w:w="95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营业执照</w:t>
                  </w:r>
                </w:p>
              </w:tc>
              <w:tc>
                <w:tcPr>
                  <w:tcW w:w="180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2"/>
                      <w:szCs w:val="12"/>
                    </w:rPr>
                    <w:t>91110106MA00ABLU0P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中国</w:t>
                  </w:r>
                </w:p>
              </w:tc>
              <w:tc>
                <w:tcPr>
                  <w:tcW w:w="166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北京市</w:t>
                  </w:r>
                </w:p>
              </w:tc>
              <w:tc>
                <w:tcPr>
                  <w:tcW w:w="137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北京市朝阳区高碑店乡半壁店村惠河南街1089号1层A1668</w:t>
                  </w:r>
                </w:p>
              </w:tc>
            </w:tr>
            <w:tr>
              <w:trPr>
                <w:trHeight w:val="750" w:hRule="atLeast"/>
              </w:trPr>
              <w:tc>
                <w:tcPr>
                  <w:tcW w:w="22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宋体" w:hint="eastAsia" w:ascii="Arial Unicode MS" w:hAnsi="Arial Unicode MS" w:eastAsia="Arial Unicode MS"/>
                      <w:color w:val="FF0000"/>
                      <w:kern w:val="0"/>
                      <w:sz w:val="20"/>
                      <w:szCs w:val="20"/>
                    </w:rPr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</w:rPr>
                  </w:pPr>
                  <w:r>
                    <w:rPr>
                      <w:rFonts w:cs="宋体" w:hint="eastAsia" w:ascii="Arial Unicode MS" w:hAnsi="Arial Unicode MS" w:eastAsia="Arial Unicode MS"/>
                      <w:color w:val="FF0000"/>
                      <w:kern w:val="0"/>
                    </w:rPr>
                  </w:r>
                </w:p>
              </w:tc>
              <w:tc>
                <w:tcPr>
                  <w:tcW w:w="95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/>
                      <w:color w:val="FF0000"/>
                      <w:kern w:val="0"/>
                    </w:rPr>
                  </w:pPr>
                  <w:r>
                    <w:rPr>
                      <w:rFonts w:cs="宋体" w:ascii="Arial Unicode MS" w:hAnsi="Arial Unicode MS" w:eastAsia="Arial Unicode MS"/>
                      <w:color w:val="FF0000"/>
                      <w:kern w:val="0"/>
                    </w:rPr>
                  </w:r>
                </w:p>
              </w:tc>
              <w:tc>
                <w:tcPr>
                  <w:tcW w:w="180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/>
                      <w:color w:val="FF0000"/>
                      <w:kern w:val="0"/>
                    </w:rPr>
                  </w:pPr>
                  <w:r>
                    <w:rPr>
                      <w:rFonts w:cs="宋体" w:ascii="Arial Unicode MS" w:hAnsi="Arial Unicode MS" w:eastAsia="Arial Unicode MS"/>
                      <w:color w:val="FF0000"/>
                      <w:kern w:val="0"/>
                    </w:rPr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/>
                      <w:color w:val="FF0000"/>
                      <w:kern w:val="0"/>
                    </w:rPr>
                  </w:pPr>
                  <w:r>
                    <w:rPr>
                      <w:rFonts w:cs="宋体" w:ascii="Arial Unicode MS" w:hAnsi="Arial Unicode MS" w:eastAsia="Arial Unicode MS"/>
                      <w:color w:val="FF0000"/>
                      <w:kern w:val="0"/>
                    </w:rPr>
                  </w:r>
                </w:p>
              </w:tc>
              <w:tc>
                <w:tcPr>
                  <w:tcW w:w="166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</w:rPr>
                  </w:pPr>
                  <w:r>
                    <w:rPr>
                      <w:rFonts w:cs="宋体" w:hint="eastAsia" w:ascii="Arial Unicode MS" w:hAnsi="Arial Unicode MS" w:eastAsia="Arial Unicode MS"/>
                      <w:color w:val="FF0000"/>
                      <w:kern w:val="0"/>
                    </w:rPr>
                  </w:r>
                </w:p>
              </w:tc>
              <w:tc>
                <w:tcPr>
                  <w:tcW w:w="137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color w:val="FF0000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>
              <w:trPr>
                <w:trHeight w:val="750" w:hRule="atLeast"/>
              </w:trPr>
              <w:tc>
                <w:tcPr>
                  <w:tcW w:w="22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95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0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7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>
              <w:trPr>
                <w:trHeight w:val="750" w:hRule="atLeast"/>
              </w:trPr>
              <w:tc>
                <w:tcPr>
                  <w:tcW w:w="22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953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08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80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7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</w:tbl>
    <w:p>
      <w:pPr>
        <w:pStyle w:val="Normal"/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cs="宋体" w:hint="eastAsia" w:ascii="Arial Unicode MS" w:hAnsi="Arial Unicode MS" w:eastAsia="Arial Unicode MS"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 w:hint="eastAsia"/>
          <w:vanish/>
          <w:kern w:val="0"/>
          <w:sz w:val="24"/>
        </w:rPr>
      </w:pPr>
      <w:r>
        <w:rPr>
          <w:rFonts w:cs="宋体" w:hint="eastAsia" w:ascii="Arial Unicode MS" w:hAnsi="Arial Unicode MS" w:eastAsia="Arial Unicode MS"/>
          <w:vanish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/>
          <w:vanish/>
          <w:kern w:val="0"/>
          <w:sz w:val="24"/>
        </w:rPr>
      </w:pPr>
      <w:r>
        <w:rPr>
          <w:rFonts w:cs="宋体" w:ascii="Arial Unicode MS" w:hAnsi="Arial Unicode MS" w:eastAsia="Arial Unicode MS"/>
          <w:vanish/>
          <w:kern w:val="0"/>
          <w:sz w:val="24"/>
        </w:rPr>
      </w:r>
    </w:p>
    <w:tbl>
      <w:tblPr>
        <w:tblW w:w="1022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0"/>
        <w:gridCol w:w="1543"/>
        <w:gridCol w:w="8228"/>
      </w:tblGrid>
      <w:tr>
        <w:trPr/>
        <w:tc>
          <w:tcPr>
            <w:tcW w:w="4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权利说明</w:t>
            </w:r>
          </w:p>
        </w:tc>
        <w:tc>
          <w:tcPr>
            <w:tcW w:w="977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9740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46"/>
              <w:gridCol w:w="8194"/>
            </w:tblGrid>
            <w:tr>
              <w:trPr>
                <w:trHeight w:val="135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权利</w:t>
                  </w:r>
                  <w:r>
                    <w:rPr>
                      <w:rFonts w:cs="宋体" w:ascii="Arial Unicode MS" w:hAnsi="Arial Unicode MS" w:eastAsia="Arial Unicode MS"/>
                      <w:kern w:val="0"/>
                      <w:szCs w:val="21"/>
                    </w:rPr>
                    <w:br/>
                  </w: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取得方式</w:t>
                  </w:r>
                </w:p>
              </w:tc>
              <w:tc>
                <w:tcPr>
                  <w:tcW w:w="819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● 原始取得  ○ 继受取得（○ 受让 ○ 承受 ○ 继承）说明：本软件由北京睿乐创科技有限公司自主开发取得。</w:t>
                    <w:br/>
                    <w:t/>
                    <w:br/>
                    <w:t/>
                  </w:r>
                </w:p>
              </w:tc>
            </w:tr>
            <w:tr>
              <w:trPr>
                <w:trHeight w:val="135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权利范围</w:t>
                  </w:r>
                </w:p>
              </w:tc>
              <w:tc>
                <w:tcPr>
                  <w:tcW w:w="819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● 全部</w:t>
                    <w:br/>
                    <w:t>○ 部分（发表权 署名权 修改权 复制权 发行权 出租权 信息网络传播权 翻译权 应当由著作权人享有的其他权利）</w:t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4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软件鉴别材料</w:t>
            </w:r>
          </w:p>
        </w:tc>
        <w:tc>
          <w:tcPr>
            <w:tcW w:w="977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9740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46"/>
              <w:gridCol w:w="8194"/>
            </w:tblGrid>
            <w:tr>
              <w:trPr>
                <w:trHeight w:val="120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● 一般交存</w:t>
                  </w:r>
                </w:p>
              </w:tc>
              <w:tc>
                <w:tcPr>
                  <w:tcW w:w="819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6"/>
                    </w:rPr>
                    <w:t>提交源程序前连续的30页和后连续的30页；</w:t>
                    <w:br/>
                    <w:t>提交文档的前连续的30页和后连续的30页；</w:t>
                    <w:br/>
                    <w:t>⊙ 一种文档  ○      种文档</w:t>
                  </w:r>
                </w:p>
              </w:tc>
            </w:tr>
            <w:tr>
              <w:trPr>
                <w:trHeight w:val="120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○ 例外交存</w:t>
                  </w:r>
                </w:p>
              </w:tc>
              <w:tc>
                <w:tcPr>
                  <w:tcW w:w="8194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6"/>
                    </w:rPr>
                    <w:t>○ 使用黑色宽斜线覆盖，页码为：</w:t>
                    <w:br/>
                    <w:t>○ 前10页和任选连续的50页</w:t>
                    <w:br/>
                    <w:t>○ 目标程序的连续的前、后各30页和源程序任选连续的20页</w:t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4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 Unicode MS" w:hAnsi="Arial Unicode MS" w:cs="宋体" w:eastAsia="Arial Unicode MS"/>
                <w:kern w:val="0"/>
                <w:szCs w:val="21"/>
              </w:rPr>
              <w:t>软件功能和技术特点</w:t>
            </w:r>
          </w:p>
        </w:tc>
        <w:tc>
          <w:tcPr>
            <w:tcW w:w="977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tbl>
            <w:tblPr>
              <w:tblW w:w="9740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46"/>
              <w:gridCol w:w="2731"/>
              <w:gridCol w:w="853"/>
              <w:gridCol w:w="1620"/>
              <w:gridCol w:w="258"/>
              <w:gridCol w:w="2732"/>
            </w:tblGrid>
            <w:tr>
              <w:trPr>
                <w:trHeight w:val="1157" w:hRule="exac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开发的硬件环境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CPU：四核及以上；内存：8GB及以上；存储空间：20GB及以上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开发该软件的操作系统</w:t>
                  </w:r>
                </w:p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macOS、Linux、Windows</w:t>
                  </w:r>
                </w:p>
              </w:tc>
            </w:tr>
            <w:tr>
              <w:trPr>
                <w:trHeight w:val="1234" w:hRule="exac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软件环境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Go、Node.js、Flutter SDK、浏览器运行环境、数据库及缓存服务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软件开发环境</w:t>
                  </w:r>
                  <w:r>
                    <w:rPr>
                      <w:rFonts w:cs="宋体" w:hint="eastAsia" w:ascii="Arial Unicode MS" w:hAnsi="Arial Unicode MS" w:eastAsia="Arial Unicode MS"/>
                      <w:kern w:val="0"/>
                      <w:sz w:val="24"/>
                    </w:rPr>
                    <w:t>/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开发工具</w:t>
                  </w:r>
                </w:p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VS Code、Go SDK、Node.js、Flutter SDK、Docker、Git</w:t>
                  </w:r>
                </w:p>
              </w:tc>
            </w:tr>
            <w:tr>
              <w:trPr>
                <w:trHeight w:val="1234" w:hRule="exac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该软件的运行平台</w:t>
                  </w:r>
                  <w:r>
                    <w:rPr>
                      <w:rFonts w:cs="宋体" w:hint="eastAsia" w:ascii="Arial Unicode MS" w:hAnsi="Arial Unicode MS" w:eastAsia="Arial Unicode MS"/>
                      <w:kern w:val="0"/>
                      <w:sz w:val="24"/>
                    </w:rPr>
                    <w:t>/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操作系统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Web：现代浏览器；App：Android / iOS；服务端：Linux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软件运行支撑环境</w:t>
                  </w:r>
                  <w:r>
                    <w:rPr>
                      <w:rFonts w:cs="宋体" w:hint="eastAsia" w:ascii="Arial Unicode MS" w:hAnsi="Arial Unicode MS" w:eastAsia="Arial Unicode MS"/>
                      <w:kern w:val="0"/>
                      <w:sz w:val="24"/>
                    </w:rPr>
                    <w:t>/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支持软件</w:t>
                  </w:r>
                </w:p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6600"/>
                      <w:kern w:val="0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Chrome、Edge、Safari、MySQL、Redis、对象存储、向量检索组件</w:t>
                  </w:r>
                </w:p>
              </w:tc>
            </w:tr>
            <w:tr>
              <w:trPr>
                <w:trHeight w:val="1234" w:hRule="exac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开发目的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产品上渠道使用、项目申报使用、企业知识管理与智能问答业务使用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面向领域</w:t>
                  </w:r>
                  <w:r>
                    <w:rPr>
                      <w:rFonts w:cs="宋体" w:hint="eastAsia" w:ascii="Arial Unicode MS" w:hAnsi="Arial Unicode MS" w:eastAsia="Arial Unicode MS"/>
                      <w:kern w:val="0"/>
                      <w:sz w:val="24"/>
                    </w:rPr>
                    <w:t>/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行业</w:t>
                  </w:r>
                </w:p>
                <w:p>
                  <w:pPr>
                    <w:pStyle w:val="Normal"/>
                    <w:widowControl/>
                    <w:spacing w:lineRule="atLeast" w:line="300"/>
                    <w:jc w:val="start"/>
                    <w:rPr>
                      <w:rFonts w:ascii="宋体" w:hAnsi="宋体" w:cs="宋体" w:hint="eastAsia"/>
                      <w:color w:val="FF6600"/>
                      <w:kern w:val="0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教育科技、企业知识管理、人工智能应用服务</w:t>
                  </w:r>
                </w:p>
              </w:tc>
            </w:tr>
            <w:tr>
              <w:trPr>
                <w:trHeight w:val="105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编程语言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3584" w:type="dxa"/>
                  <w:gridSpan w:val="2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Go、TypeScript、Vue、Dart、Flutter、SQL、Shell</w:t>
                  </w:r>
                </w:p>
              </w:tc>
              <w:tc>
                <w:tcPr>
                  <w:tcW w:w="1620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eastAsia="Arial Unicode MS"/>
                      <w:kern w:val="0"/>
                      <w:szCs w:val="21"/>
                    </w:rPr>
                    <w:t>源程序量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2990" w:type="dxa"/>
                  <w:gridSpan w:val="2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457038行</w:t>
                  </w:r>
                </w:p>
              </w:tc>
            </w:tr>
            <w:tr>
              <w:trPr>
                <w:trHeight w:val="255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eastAsia="宋体" w:cs="宋体" w:hint="eastAsia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软件的主要功能（不少于</w:t>
                  </w:r>
                  <w:r>
                    <w:rPr>
                      <w:rFonts w:cs="宋体" w:hint="eastAsia" w:ascii="Arial Unicode MS" w:hAnsi="Arial Unicode MS" w:eastAsia="Arial Unicode MS"/>
                      <w:kern w:val="0"/>
                      <w:sz w:val="24"/>
                    </w:rPr>
                    <w:t>500</w:t>
                  </w: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个字）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8194" w:type="dxa"/>
                  <w:gridSpan w:val="5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sz w:val="14"/>
                    </w:rPr>
                    <w:t>睿乐大脑系统是一套面向教育科技、企业知识管理和智能问答场景的软件系统，提供从资料采集、知识入库、内容处理到智能问答输出的完整工作流。系统支持创建多个业务知识库，按目录、标签、类型和状态管理文档资料，并对上传的文本、文档和音频资料进行解析、分块、整理和索引。用户可在问答界面通过自然语言提出问题，系统结合指定知识范围、上下文资料和模型配置生成回答，并提供会话管理、推荐问题、引用展示和附件处理能力。记忆管理模块用于沉淀日常笔记、录音、工牌采集内容和移动端上传资料，支持按资产类型检索、查看、整理和后续处理。发现模块能够集中展示待处理素材线索，发芽模块用于将原始信息加工为结构化成果，帮助用户把零散资料转化为可复用的知识资产。系统设置模块提供账户、空间、成员、智能体、共享空间、消息、模型、发布集成、外观和数据扩展等配置能力。移动 App 端基于 mobile 模块实现登录态保存、录音卡连接、音频采集、资料预览、记忆创建和服务端同步，使移动场景中的采集资料可以进入 Web 端知识管理流程。系统还支持多业务空间的统一管理，可依据组织结构配置成员权限和共享空间，便于不同团队围绕课程、运营、销售、教研和客户服务资料进行协作。通过资料沉淀、智能检索和问答生成，软件能够减少重复整理工作，提高知识复用效率，并为企业后续的数据治理、知识运营和智能化服务提供基础支撑。</w:t>
                  </w:r>
                </w:p>
              </w:tc>
            </w:tr>
            <w:tr>
              <w:trPr>
                <w:trHeight w:val="2550" w:hRule="atLeast"/>
              </w:trPr>
              <w:tc>
                <w:tcPr>
                  <w:tcW w:w="1546" w:type="dxa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vAlign w:val="center"/>
                </w:tcPr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kern w:val="0"/>
                      <w:sz w:val="24"/>
                    </w:rPr>
                    <w:t>软件的技术特点</w:t>
                  </w:r>
                </w:p>
                <w:p>
                  <w:pPr>
                    <w:pStyle w:val="Normal"/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Arial Unicode MS" w:hAnsi="Arial Unicode MS" w:cs="宋体" w:hint="eastAsia" w:eastAsia="Arial Unicode MS"/>
                      <w:color w:val="FF0000"/>
                      <w:sz w:val="24"/>
                    </w:rPr>
                    <w:t>必填项</w:t>
                  </w:r>
                </w:p>
              </w:tc>
              <w:tc>
                <w:tcPr>
                  <w:tcW w:w="8194" w:type="dxa"/>
                  <w:gridSpan w:val="5"/>
                  <w:tcBorders>
                    <w:top w:val="thickThinLargeGap" w:sz="6" w:space="0" w:color="C0C0C0"/>
                    <w:start w:val="thickThinLargeGap" w:sz="6" w:space="0" w:color="C0C0C0"/>
                    <w:bottom w:val="thickThinLargeGap" w:sz="6" w:space="0" w:color="C0C0C0"/>
                    <w:end w:val="thickThinLargeGap" w:sz="6" w:space="0" w:color="C0C0C0"/>
                  </w:tcBorders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Arial Unicode MS" w:hAnsi="Arial Unicode MS" w:eastAsia="Arial Unicode MS"/>
                      <w:b w:val="0"/>
                      <w:sz w:val="16"/>
                    </w:rPr>
                    <w:t>本软件采用 Web 前端、服务端接口和 Flutter 移动端相结合的架构。前端使用 TypeScript、Vue 等技术实现知识库、问答、记忆、发现、发芽和系统设置界面；移动端使用 Dart、Flutter 构建 Android 与 iOS App，支持录音卡设备连接、音频处理和资料上传；服务端模块使用 Go、SQL、Shell 等实现接口服务、业务处理、数据持久化和部署脚本。系统可部署在 Linux 服务器或容器化环境中，结合关系型数据库、缓存、对象存储和向量检索组件支撑资料管理、检索增强问答和多端同步。软件自主完成了界面适配、功能整合、移动端接入和业务流程扩展。</w:t>
                  </w:r>
                </w:p>
              </w:tc>
            </w:tr>
          </w:tbl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</w:tr>
      <w:tr>
        <w:trPr/>
        <w:tc>
          <w:tcPr>
            <w:tcW w:w="4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Arial Unicode MS" w:hAnsi="Arial Unicode MS" w:eastAsia="Arial Unicode MS"/>
                <w:kern w:val="0"/>
                <w:szCs w:val="21"/>
              </w:rPr>
            </w:r>
          </w:p>
        </w:tc>
        <w:tc>
          <w:tcPr>
            <w:tcW w:w="15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hint="eastAsia" w:eastAsia="Arial Unicode MS"/>
                <w:kern w:val="0"/>
                <w:szCs w:val="21"/>
              </w:rPr>
              <w:t>申请本软件著作权的目的</w:t>
            </w:r>
          </w:p>
        </w:tc>
        <w:tc>
          <w:tcPr>
            <w:tcW w:w="8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产品上渠道使用、项目申报使用、企业知识管理与智能问答业务使用。</w:t>
            </w:r>
          </w:p>
        </w:tc>
      </w:tr>
      <w:tr>
        <w:trPr>
          <w:trHeight w:val="599" w:hRule="atLeast"/>
        </w:trPr>
        <w:tc>
          <w:tcPr>
            <w:tcW w:w="4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Arial Unicode MS" w:hAnsi="Arial Unicode MS" w:eastAsia="Arial Unicode MS"/>
                <w:kern w:val="0"/>
                <w:szCs w:val="21"/>
              </w:rPr>
            </w:r>
          </w:p>
        </w:tc>
        <w:tc>
          <w:tcPr>
            <w:tcW w:w="15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Arial Unicode MS" w:hAnsi="Arial Unicode MS" w:cs="宋体" w:hint="eastAsia" w:eastAsia="Arial Unicode MS"/>
                <w:kern w:val="0"/>
                <w:szCs w:val="21"/>
              </w:rPr>
              <w:t>本次提交的说明书和代码是否办理过著作权</w:t>
            </w:r>
          </w:p>
        </w:tc>
        <w:tc>
          <w:tcPr>
            <w:tcW w:w="8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没办理过（如实际办理过，请补充上次登记信息后再提交）</w:t>
            </w:r>
          </w:p>
        </w:tc>
      </w:tr>
    </w:tbl>
    <w:p>
      <w:pPr>
        <w:pStyle w:val="Normal"/>
        <w:rPr>
          <w:vanish/>
        </w:rPr>
      </w:pPr>
      <w:r>
        <w:rPr>
          <w:rFonts w:ascii="Arial Unicode MS" w:hAnsi="Arial Unicode MS" w:eastAsia="Arial Unicode MS"/>
          <w:vanish/>
        </w:rPr>
      </w:r>
    </w:p>
    <w:tbl>
      <w:tblPr>
        <w:tblpPr w:vertAnchor="text" w:horzAnchor="margin" w:rightFromText="180" w:tblpX="82" w:tblpY="214"/>
        <w:tblW w:w="10221" w:type="dxa"/>
        <w:jc w:val="start"/>
        <w:tblInd w:w="6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0221"/>
      </w:tblGrid>
      <w:tr>
        <w:trPr>
          <w:trHeight w:val="3000" w:hRule="atLeast"/>
        </w:trPr>
        <w:tc>
          <w:tcPr>
            <w:tcW w:w="1022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2655" w:leader="none"/>
              </w:tabs>
              <w:rPr>
                <w:rFonts w:ascii="宋体" w:hAnsi="宋体" w:cs="宋体" w:hint="eastAsia"/>
                <w:color w:val="FF6600"/>
                <w:kern w:val="0"/>
                <w:sz w:val="36"/>
                <w:szCs w:val="36"/>
              </w:rPr>
            </w:pPr>
            <w:r>
              <w:rPr>
                <w:rFonts w:ascii="Arial Unicode MS" w:hAnsi="Arial Unicode MS" w:cs="宋体" w:hint="eastAsia" w:eastAsia="Arial Unicode MS"/>
                <w:color w:val="FF6600"/>
                <w:kern w:val="0"/>
                <w:sz w:val="36"/>
                <w:szCs w:val="36"/>
              </w:rPr>
              <w:t>材料填写好之后，把资料（申请表、说明书和代码）传给我们，我们帮您整理好之后发送给您打印，快递给我们。</w:t>
            </w:r>
          </w:p>
          <w:p>
            <w:pPr>
              <w:pStyle w:val="Normal"/>
              <w:widowControl/>
              <w:spacing w:lineRule="atLeast" w:line="300" w:before="0" w:after="0"/>
              <w:ind w:end="400"/>
              <w:jc w:val="center"/>
              <w:rPr>
                <w:rFonts w:ascii="宋体" w:hAnsi="宋体" w:cs="宋体" w:hint="eastAsia"/>
                <w:color w:val="FF6600"/>
                <w:kern w:val="0"/>
                <w:sz w:val="20"/>
                <w:szCs w:val="20"/>
              </w:rPr>
            </w:pPr>
            <w:r>
              <w:rPr>
                <w:rFonts w:cs="宋体" w:hint="eastAsia" w:ascii="Arial Unicode MS" w:hAnsi="Arial Unicode MS" w:eastAsia="Arial Unicode MS"/>
                <w:color w:val="FF6600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widowControl/>
        <w:rPr>
          <w:rFonts w:ascii="宋体" w:hAnsi="宋体" w:cs="宋体" w:hint="eastAsia"/>
          <w:kern w:val="0"/>
          <w:sz w:val="24"/>
        </w:rPr>
      </w:pPr>
      <w:r>
        <w:rPr>
          <w:rFonts w:cs="宋体" w:hint="eastAsia" w:ascii="Arial Unicode MS" w:hAnsi="Arial Unicode MS" w:eastAsia="Arial Unicode MS"/>
          <w:kern w:val="0"/>
          <w:sz w:val="24"/>
        </w:rPr>
      </w:r>
    </w:p>
    <w:p>
      <w:pPr>
        <w:pStyle w:val="Normal"/>
        <w:widowControl/>
        <w:rPr>
          <w:rFonts w:ascii="宋体" w:hAnsi="宋体" w:cs="宋体" w:hint="eastAsia"/>
          <w:kern w:val="0"/>
          <w:sz w:val="24"/>
        </w:rPr>
      </w:pPr>
      <w:r>
        <w:rPr>
          <w:rFonts w:cs="宋体" w:hint="eastAsia" w:ascii="Arial Unicode MS" w:hAnsi="Arial Unicode MS" w:eastAsia="Arial Unicode MS"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cs="宋体" w:hint="eastAsia" w:ascii="Arial Unicode MS" w:hAnsi="Arial Unicode MS" w:eastAsia="Arial Unicode MS"/>
          <w:kern w:val="0"/>
          <w:sz w:val="24"/>
        </w:rPr>
      </w:r>
    </w:p>
    <w:p>
      <w:pPr>
        <w:pStyle w:val="Normal"/>
        <w:widowControl/>
        <w:rPr>
          <w:rFonts w:ascii="宋体" w:hAnsi="宋体" w:cs="宋体" w:hint="eastAsia"/>
          <w:kern w:val="0"/>
          <w:sz w:val="24"/>
        </w:rPr>
      </w:pPr>
      <w:r>
        <w:rPr>
          <w:rFonts w:cs="宋体" w:hint="eastAsia" w:ascii="Arial Unicode MS" w:hAnsi="Arial Unicode MS" w:eastAsia="Arial Unicode MS"/>
          <w:kern w:val="0"/>
          <w:sz w:val="24"/>
        </w:rPr>
      </w:r>
      <w:r>
        <w:rPr>
          <w:rFonts w:ascii="Arial Unicode MS" w:hAnsi="Arial Unicode MS" w:eastAsia="Arial Unicode MS"/>
        </w:rPr>
        <w:br w:type="page"/>
      </w:r>
    </w:p>
    <w:p>
      <w:pPr>
        <w:pStyle w:val="Normal"/>
        <w:widowControl/>
        <w:rPr>
          <w:rFonts w:ascii="宋体" w:hAnsi="宋体" w:cs="宋体" w:hint="eastAsia"/>
          <w:vanish/>
          <w:kern w:val="0"/>
          <w:sz w:val="24"/>
        </w:rPr>
      </w:pPr>
      <w:r>
        <w:rPr>
          <w:rFonts w:cs="宋体" w:hint="eastAsia" w:ascii="Arial Unicode MS" w:hAnsi="Arial Unicode MS" w:eastAsia="Arial Unicode MS"/>
          <w:vanish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/>
          <w:vanish/>
          <w:kern w:val="0"/>
          <w:sz w:val="24"/>
        </w:rPr>
      </w:pPr>
      <w:r>
        <w:rPr>
          <w:rFonts w:cs="宋体" w:ascii="Arial Unicode MS" w:hAnsi="Arial Unicode MS" w:eastAsia="Arial Unicode MS"/>
          <w:vanish/>
          <w:kern w:val="0"/>
          <w:sz w:val="24"/>
        </w:rPr>
      </w:r>
    </w:p>
    <w:p>
      <w:pPr>
        <w:pStyle w:val="Normal"/>
        <w:widowControl/>
        <w:jc w:val="center"/>
        <w:rPr>
          <w:rFonts w:ascii="宋体" w:hAnsi="宋体" w:cs="宋体" w:hint="eastAsia"/>
          <w:vanish/>
          <w:kern w:val="0"/>
          <w:sz w:val="24"/>
        </w:rPr>
      </w:pPr>
      <w:r>
        <w:rPr>
          <w:rFonts w:cs="宋体" w:hint="eastAsia" w:ascii="Arial Unicode MS" w:hAnsi="Arial Unicode MS" w:eastAsia="Arial Unicode MS"/>
          <w:vanish/>
          <w:kern w:val="0"/>
          <w:sz w:val="24"/>
        </w:rPr>
      </w:r>
    </w:p>
    <w:sectPr>
      <w:type w:val="nextPage"/>
      <w:pgSz w:w="11906" w:h="16838"/>
      <w:pgMar w:left="907" w:right="794" w:gutter="0" w:header="0" w:top="1440" w:footer="0" w:bottom="10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EnclosedCircle"/>
      <w:lvlText w:val="%1"/>
      <w:lvlJc w:val="start"/>
      <w:pPr>
        <w:tabs>
          <w:tab w:val="num" w:pos="0"/>
        </w:tabs>
        <w:ind w:start="720" w:hanging="360"/>
      </w:pPr>
      <w:rPr>
        <w:rFonts w:cs="Times New Roman"/>
        <w:color w:val="000000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0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2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04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46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0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2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14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NGJhNGNlODhkNDI5MDMxM2I5YTVkY2M1ZjNhMDE0ZT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cs="Times New Roman"/>
      <w:color w:val="000000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suporsub">
    <w:name w:val="suporsub"/>
    <w:basedOn w:val="Style14"/>
    <w:qFormat/>
    <w:rPr/>
  </w:style>
  <w:style w:type="character" w:styleId="msg">
    <w:name w:val="msg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2010-04-06T10:18:00Z</dcterms:created>
  <dc:creator>微软用户</dc:creator>
  <dc:description/>
  <dc:language>zh-CN</dc:language>
  <cp:lastModifiedBy>朱倩</cp:lastModifiedBy>
  <dcterms:modified xsi:type="dcterms:W3CDTF">2026-04-07T11:40:52Z</dcterms:modified>
  <cp:revision>9</cp:revision>
  <dc:subject/>
  <dc:title>计算机软件著作权登记申请表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D2C43A69B9EF44CAB7A6D31FC579B8D8_12</vt:lpwstr>
  </property>
  <property fmtid="{D5CDD505-2E9C-101B-9397-08002B2CF9AE}" pid="3" name="KSOProductBuildVer">
    <vt:lpwstr>2052-12.1.0.25835</vt:lpwstr>
  </property>
  <property fmtid="{D5CDD505-2E9C-101B-9397-08002B2CF9AE}" pid="4" name="KSOTemplateDocerSaveRecord">
    <vt:lpwstr>eyJoZGlkIjoiNDhmOGM2YmMxOWRmNjE5ZmQxNTFhNjJlMzI1MDVjOGIiLCJ1c2VySWQiOiI2MjY4NjE0ODIifQ==</vt:lpwstr>
  </property>
</Properties>
</file>