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007. Tayyorlangan preparatni Gram usulida bo'yash</w:t>
      </w:r>
    </w:p>
    <w:p>
      <w:pPr>
        <w:pStyle w:val="Heading2"/>
        <w:spacing w:after="120" w:before="200"/>
      </w:pPr>
      <w:r>
        <w:t xml:space="preserve">Kirish</w:t>
      </w:r>
    </w:p>
    <w:p>
      <w:pPr>
        <w:spacing w:after="120" w:line="276"/>
        <w:jc w:val="both"/>
      </w:pPr>
      <w:r>
        <w:t xml:space="preserve">Gram usulida bo'yash — bakteriologiyadagi eng muhim va keng tarqalgan differensial bo'yash usulidir. 1884-yilda daniyalik olim Hans Christian Gram tomonidan taklif etilgan bu usul mikroblarni hujayra devori tuzilishiga ko'ra ikki katta guruhga — Gram-musbat (ko'k-binafsha) va Gram-manfiy (qizil-pushti) mikroblarga ajratadi [1][2]. Gram bo'yash natijasi mikrobni dastlabki identifikatsiya qilish, antibiotik tanlash va empirik davolashda hal qiluvchi ahamiyatga ega. Bir asrdan ko'proq vaqt o'tgan bo'lsa-da, bu usul o'zining soddaligi, tezligi va yuqori informativligi tufayli bugungi kungacha diagnostik mikrobiologiyaning poydevor usuli bo'lib qolmoqda va deyarli har bir bakteriologik tekshiruv aynan shu usuldan boshlanadi.</w:t>
      </w:r>
    </w:p>
    <w:p>
      <w:pPr>
        <w:pStyle w:val="Heading2"/>
        <w:spacing w:after="120" w:before="200"/>
      </w:pPr>
      <w:r>
        <w:t xml:space="preserve">Usulning asosi</w:t>
      </w:r>
    </w:p>
    <w:p>
      <w:pPr>
        <w:spacing w:after="120" w:line="276"/>
        <w:jc w:val="both"/>
      </w:pPr>
      <w:r>
        <w:t xml:space="preserve">Gram bo'yashning mohiyati mikroblar hujayra devorining strukturaviy farqiga asoslanadi [1][2]. Gram-musbat bakteriyalarning devorida qalin peptidoglikan (murein) qatlami bo'lib, u gentsian binafshasi bilan yod kompleksini mustahkam ushlab qoladi va spirt bilan rangsizlantirishga chidaydi. Gram-manfiy bakteriyalarda esa peptidoglikan qatlami yupqa va tashqi lipid membranasi mavjud; spirt bu membranani eritib, bo'yoq-yod kompleksini yuvib ketadi, natijada hujayralar rangsizlanadi va keyin qo'shimcha bo'yoq bilan qizil rangga bo'yaladi.</w:t>
      </w:r>
    </w:p>
    <w:p>
      <w:pPr>
        <w:pStyle w:val="Heading2"/>
        <w:spacing w:after="120" w:before="200"/>
      </w:pPr>
      <w:r>
        <w:t xml:space="preserve">Kerakli reaktivlar</w:t>
      </w:r>
    </w:p>
    <w:p>
      <w:pPr>
        <w:spacing w:after="120" w:line="276"/>
        <w:jc w:val="both"/>
      </w:pPr>
      <w:r>
        <w:t xml:space="preserve">Gram bo'yash uchun to'rtta asosiy reaktiv zarur [1][2]:</w:t>
      </w:r>
    </w:p>
    <w:p>
      <w:pPr>
        <w:pStyle w:val="ListParagraph"/>
        <w:numPr>
          <w:ilvl w:val="0"/>
          <w:numId w:val="2"/>
        </w:numPr>
        <w:spacing w:after="60" w:line="276"/>
      </w:pPr>
      <w:r>
        <w:t xml:space="preserve">asosiy bo'yoq — gentsian (yoki kristall) binafshasi;</w:t>
      </w:r>
    </w:p>
    <w:p>
      <w:pPr>
        <w:pStyle w:val="ListParagraph"/>
        <w:numPr>
          <w:ilvl w:val="0"/>
          <w:numId w:val="2"/>
        </w:numPr>
        <w:spacing w:after="60" w:line="276"/>
      </w:pPr>
      <w:r>
        <w:t xml:space="preserve">mordant (fiksator) — Lyugol eritmasi (yod va kaliy yodidining eritmasi);</w:t>
      </w:r>
    </w:p>
    <w:p>
      <w:pPr>
        <w:pStyle w:val="ListParagraph"/>
        <w:numPr>
          <w:ilvl w:val="0"/>
          <w:numId w:val="2"/>
        </w:numPr>
        <w:spacing w:after="60" w:line="276"/>
      </w:pPr>
      <w:r>
        <w:t xml:space="preserve">rangsizlantiruvchi — 96% etil spirti yoki spirt-atseton aralashmasi;</w:t>
      </w:r>
    </w:p>
    <w:p>
      <w:pPr>
        <w:pStyle w:val="ListParagraph"/>
        <w:numPr>
          <w:ilvl w:val="0"/>
          <w:numId w:val="2"/>
        </w:numPr>
        <w:spacing w:after="60" w:line="276"/>
      </w:pPr>
      <w:r>
        <w:t xml:space="preserve">qo'shimcha (kontrast) bo'yoq — suyultirilgan fuksin yoki safranin.</w:t>
      </w:r>
    </w:p>
    <w:p>
      <w:pPr>
        <w:pStyle w:val="Heading2"/>
        <w:spacing w:after="120" w:before="200"/>
      </w:pPr>
      <w:r>
        <w:t xml:space="preserve">Bo'yash bosqichlari</w:t>
      </w:r>
    </w:p>
    <w:p>
      <w:pPr>
        <w:spacing w:after="120" w:line="276"/>
        <w:jc w:val="both"/>
      </w:pPr>
      <w:r>
        <w:t xml:space="preserve">Klassik Gram usuli quyidagi izchillikda bajariladi [1][2]:</w:t>
      </w:r>
    </w:p>
    <w:p>
      <w:pPr>
        <w:pStyle w:val="ListParagraph"/>
        <w:numPr>
          <w:ilvl w:val="0"/>
          <w:numId w:val="2"/>
        </w:numPr>
        <w:spacing w:after="60" w:line="276"/>
      </w:pPr>
      <w:r>
        <w:t xml:space="preserve">Fiksatsiya qilingan preparatga gentsian binafshasi tomiziladi va 1–2 daqiqa ushlab turiladi;</w:t>
      </w:r>
    </w:p>
    <w:p>
      <w:pPr>
        <w:pStyle w:val="ListParagraph"/>
        <w:numPr>
          <w:ilvl w:val="0"/>
          <w:numId w:val="2"/>
        </w:numPr>
        <w:spacing w:after="60" w:line="276"/>
      </w:pPr>
      <w:r>
        <w:t xml:space="preserve">Bo'yoq to'kib tashlanadi va surtmaga Lyugol eritmasi quyilib, 1–2 daqiqa ta'sir ettiriladi;</w:t>
      </w:r>
    </w:p>
    <w:p>
      <w:pPr>
        <w:pStyle w:val="ListParagraph"/>
        <w:numPr>
          <w:ilvl w:val="0"/>
          <w:numId w:val="2"/>
        </w:numPr>
        <w:spacing w:after="60" w:line="276"/>
      </w:pPr>
      <w:r>
        <w:t xml:space="preserve">Lyugol to'kiladi va preparat spirt bilan rangsizlantiriladi — spirt oqib tushgan suyuqlik rangsizlanguncha (odatda 20–30 soniya);</w:t>
      </w:r>
    </w:p>
    <w:p>
      <w:pPr>
        <w:pStyle w:val="ListParagraph"/>
        <w:numPr>
          <w:ilvl w:val="0"/>
          <w:numId w:val="2"/>
        </w:numPr>
        <w:spacing w:after="60" w:line="276"/>
      </w:pPr>
      <w:r>
        <w:t xml:space="preserve">Preparat darhol suv bilan yuvib, rangsizlantirish to'xtatiladi;</w:t>
      </w:r>
    </w:p>
    <w:p>
      <w:pPr>
        <w:pStyle w:val="ListParagraph"/>
        <w:numPr>
          <w:ilvl w:val="0"/>
          <w:numId w:val="2"/>
        </w:numPr>
        <w:spacing w:after="60" w:line="276"/>
      </w:pPr>
      <w:r>
        <w:t xml:space="preserve">Qo'shimcha bo'yoq (fuksin yoki safranin) tomizilib, 1–2 daqiqa ushlab turiladi, so'ngra yuvib quritiladi.</w:t>
      </w:r>
    </w:p>
    <w:p>
      <w:pPr>
        <w:spacing w:after="120" w:line="276"/>
        <w:jc w:val="both"/>
      </w:pPr>
      <w:r>
        <w:t xml:space="preserve">Natijada Gram-musbat mikroblar ko'k-binafsha, Gram-manfiy mikroblar esa qizil-pushti rangda ko'rinadi [1][2]. Preparat immersion ob'ektiv (1000x) ostida ko'riladi.</w:t>
      </w:r>
    </w:p>
    <w:p>
      <w:pPr>
        <w:pStyle w:val="Heading2"/>
        <w:spacing w:after="120" w:before="200"/>
      </w:pPr>
      <w:r>
        <w:t xml:space="preserve">Har bir reaktivning vazifasi</w:t>
      </w:r>
    </w:p>
    <w:p>
      <w:pPr>
        <w:spacing w:after="120" w:line="276"/>
        <w:jc w:val="both"/>
      </w:pPr>
      <w:r>
        <w:t xml:space="preserve">Gram bo'yashda to'rt reaktivning har biri aniq vazifani bajaradi [1][2]. Gentsian binafshasi — barcha mikroblarni dastlab binafsha rangga bo'yaydigan asosiy bo'yoq. Lyugol eritmasi (yod) mordant vazifasini bajaradi: u bo'yoq bilan birikib, hujayra ichida yirik va erimaydigan bo'yoq-yod kompleksini hosil qiladi, bu esa bo'yoqning hujayrada ushlanib qolishini mustahkamlaydi. Spirt (yoki spirt-atseton) rangsizlantiruvchi bo'lib, aynan shu bosqich mikroblarni ikki guruhga ajratadi. Qo'shimcha bo'yoq (fuksin yoki safranin) esa rangsizlangan Gram-manfiy hujayralarni qizil rangga bo'yab, ularni ko'rinadigan qiladi.</w:t>
      </w:r>
    </w:p>
    <w:p>
      <w:pPr>
        <w:spacing w:after="120" w:line="276"/>
        <w:jc w:val="both"/>
      </w:pPr>
      <w:r>
        <w:t xml:space="preserve">Gram-musbat hujayralarda qalin peptidoglikan qatlami spirt ta'sirida suvsizlanib, g'ovaklari torayadi va bo'yoq-yod kompleksini ichida ushlab qoladi. Gram-manfiy hujayralarda esa spirt tashqi lipid membranasini eritadi va yupqa peptidoglikan kompleksni ushlab tura olmaydi — bo'yoq yuvilib ketadi [1][2]. Shu mexanizm tufayli Gram bo'yash natijasi hujayra devori tuzilishining to'g'ridan-to'g'ri aks ettirishi hisoblanadi.</w:t>
      </w:r>
    </w:p>
    <w:p>
      <w:pPr>
        <w:pStyle w:val="Heading2"/>
        <w:spacing w:after="120" w:before="200"/>
      </w:pPr>
      <w:r>
        <w:t xml:space="preserve">Eng muhim bosqich — rangsizlantirish</w:t>
      </w:r>
    </w:p>
    <w:p>
      <w:pPr>
        <w:spacing w:after="120" w:line="276"/>
        <w:jc w:val="both"/>
      </w:pPr>
      <w:r>
        <w:t xml:space="preserve">Gram bo'yashning eng nozik va xatoga moyil bosqichi — spirt bilan rangsizlantirishdir. Agar spirt juda uzoq ta'sir etsa, Gram-musbat mikroblar ham rangsizlanib, noto'g'ri Gram-manfiy natija beradi; aksincha, yetarli rangsizlantirilmasa, Gram-manfiy mikroblar binafsha bo'lib qoladi [1][2]. Shuning uchun rangsizlantirish vaqtini aniq nazorat qilish va darhol suv bilan to'xtatish zarur. Surtmaning yupqaligi ham muhim: qalin surtma to'liq rangsizlanmaydi.</w:t>
      </w:r>
    </w:p>
    <w:p>
      <w:pPr>
        <w:pStyle w:val="Heading2"/>
        <w:spacing w:after="120" w:before="200"/>
      </w:pPr>
      <w:r>
        <w:t xml:space="preserve">Natijani talqin qilish va sifat nazorati</w:t>
      </w:r>
    </w:p>
    <w:p>
      <w:pPr>
        <w:spacing w:after="120" w:line="276"/>
        <w:jc w:val="both"/>
      </w:pPr>
      <w:r>
        <w:t xml:space="preserve">Natijaning ishonchliligini oshirish uchun nazorat shtammlari ishlatiladi: masalan, Staphylococcus aureus (Gram-musbat) va Escherichia coli (Gram-manfiy) [1][2]. Gram natijasi hujayra shakli bilan birgalikda talqin qilinadi: Gram-musbat kokklar (stafilo-, strepto-, pnevmokokklar), Gram-manfiy tayoqchalar (ichak tayoqchalari oilasi), Gram-manfiy diplokokklar (neysseriyalar) va hokazo. Eski kulturalar va antibiotik ta'siridagi hujayralarda noaniq, ya'ni Gram-o'zgaruvchan bo'yalish kuzatilishi mumkin.</w:t>
      </w:r>
    </w:p>
    <w:p>
      <w:pPr>
        <w:spacing w:after="120" w:line="276"/>
        <w:jc w:val="both"/>
      </w:pPr>
      <w:r>
        <w:t xml:space="preserve">Gram bo'yash klinik amaliyotda tezkor va qimmatli ma'lumot beradi. Masalan, yiringli materialda ko'plab Gram-musbat to'da kokklar topilishi stafilokokk infeksiyasiga, likvorda Gram-manfiy diplokokklar esa meningokokk infeksiyasiga shubha uyg'otadi [1][2]. Bu dastlabki ma'lumot shifokorga empirik antibiotik tanlashda yordam beradi, holbuki yakuniy tashxis kultural va biokimyoviy tekshiruvlar bilan tasdiqlanadi. Shu bois Gram bo'yash — tez javob beradigan va keng qo'llaniladigan skrining usulidir.</w:t>
      </w:r>
    </w:p>
    <w:p>
      <w:pPr>
        <w:spacing w:after="120" w:line="276"/>
        <w:jc w:val="both"/>
      </w:pPr>
      <w:r>
        <w:t xml:space="preserve">Ba'zi mikroblar Gram bo'yashda yaxshi ko'rinmaydi yoki o'zgaruvchan natija beradi: masalan, mikobakteriyalar (mumsimon devor tufayli), mikoplazmalar (hujayra devori yo'q), spiroxetalar (juda ingichka) [1][2]. Bunday hollarda maxsus bo'yash usullari yoki boshqa tekshiruvlar qo'llaniladi. Shu sababli Gram bo'yash natijasini talqin qilishda mikrob turining xususiyatlarini bilish zarur.</w:t>
      </w:r>
    </w:p>
    <w:p>
      <w:pPr>
        <w:pStyle w:val="Heading2"/>
        <w:spacing w:after="120" w:before="200"/>
      </w:pPr>
      <w:r>
        <w:t xml:space="preserve">Ko'p uchraydigan xatolar</w:t>
      </w:r>
    </w:p>
    <w:p>
      <w:pPr>
        <w:spacing w:after="120" w:line="276"/>
        <w:jc w:val="both"/>
      </w:pPr>
      <w:r>
        <w:t xml:space="preserve">Gram bo'yashda natijani buzadigan tipik xatolar quyidagilar [1][2]:</w:t>
      </w:r>
    </w:p>
    <w:p>
      <w:pPr>
        <w:pStyle w:val="ListParagraph"/>
        <w:numPr>
          <w:ilvl w:val="0"/>
          <w:numId w:val="3"/>
        </w:numPr>
        <w:spacing w:after="60" w:line="276"/>
      </w:pPr>
      <w:r>
        <w:t xml:space="preserve">haddan ortiq rangsizlantirish — Gram-musbat mikroblar yolg'on Gram-manfiy ko'rinadi;</w:t>
      </w:r>
    </w:p>
    <w:p>
      <w:pPr>
        <w:pStyle w:val="ListParagraph"/>
        <w:numPr>
          <w:ilvl w:val="0"/>
          <w:numId w:val="3"/>
        </w:numPr>
        <w:spacing w:after="60" w:line="276"/>
      </w:pPr>
      <w:r>
        <w:t xml:space="preserve">yetarli rangsizlantirmaslik — Gram-manfiy mikroblar binafsha bo'lib qoladi;</w:t>
      </w:r>
    </w:p>
    <w:p>
      <w:pPr>
        <w:pStyle w:val="ListParagraph"/>
        <w:numPr>
          <w:ilvl w:val="0"/>
          <w:numId w:val="3"/>
        </w:numPr>
        <w:spacing w:after="60" w:line="276"/>
      </w:pPr>
      <w:r>
        <w:t xml:space="preserve">qalin surtma — spirt to'liq rangsizlantira olmaydi, natija ishonchsiz bo'ladi;</w:t>
      </w:r>
    </w:p>
    <w:p>
      <w:pPr>
        <w:pStyle w:val="ListParagraph"/>
        <w:numPr>
          <w:ilvl w:val="0"/>
          <w:numId w:val="3"/>
        </w:numPr>
        <w:spacing w:after="60" w:line="276"/>
      </w:pPr>
      <w:r>
        <w:t xml:space="preserve">eski kultura ishlatish — Gram-musbat mikroblar o'zgaruvchan natija beradi;</w:t>
      </w:r>
    </w:p>
    <w:p>
      <w:pPr>
        <w:pStyle w:val="ListParagraph"/>
        <w:numPr>
          <w:ilvl w:val="0"/>
          <w:numId w:val="3"/>
        </w:numPr>
        <w:spacing w:after="60" w:line="276"/>
      </w:pPr>
      <w:r>
        <w:t xml:space="preserve">reaktivlarning eskirgani yoki noto'g'ri tayyorlangani — barcha bosqichlarda xatolik.</w:t>
      </w:r>
    </w:p>
    <w:p>
      <w:pPr>
        <w:spacing w:after="120" w:line="276"/>
        <w:jc w:val="both"/>
      </w:pPr>
      <w:r>
        <w:t xml:space="preserve">Bu xatolarning oldini olish uchun yupqa surtma tayyorlash, yosh kulturadan foydalanish, rangsizlantirish vaqtini aniq nazorat qilish va reaktivlarning yaroqliligini tekshirish zarur. Har bir yangi reaktiv partiyasi ma'lum Gram-musbat va Gram-manfiy nazorat shtammlarida sinab ko'riladi [1][2].</w:t>
      </w:r>
    </w:p>
    <w:p>
      <w:pPr>
        <w:pStyle w:val="Heading2"/>
        <w:spacing w:after="120" w:before="200"/>
      </w:pPr>
      <w:r>
        <w:t xml:space="preserve">Xulosa</w:t>
      </w:r>
    </w:p>
    <w:p>
      <w:pPr>
        <w:spacing w:after="120" w:line="276"/>
        <w:jc w:val="both"/>
      </w:pPr>
      <w:r>
        <w:t xml:space="preserve">Gram usulida bo'yash — mikroblarni hujayra devori tuzilishiga ko'ra ikki guruhga ajratadigan, tez va informativ differensial usuldir. Reaktivlarni to'g'ri ketma-ketlikda qo'llash, ayniqsa rangsizlantirish bosqichini aniq nazorat qilish usulning muvaffaqiyatini belgilaydi. Gram bo'yash bakteriologik tashxisning birinchi bosqichida mikrobni dastlabki aniqlashda va klinik qarorlarda muhim yo'naltiruvchi vosita bo'lib xizmat qiladi. Shu bois har bir baklaborant bu usulni mukammal egallashi va uning natijalarini to'g'ri talqin qila olishi zarur. Usulning to'g'ri bajarilishi esa reaktivlar sifatiga va texnik qoidalarga qat'iy rioya qilishga bevosita bog'liqdir.</w:t>
      </w:r>
    </w:p>
    <w:p>
      <w:pPr>
        <w:pStyle w:val="Heading2"/>
        <w:spacing w:after="120" w:before="240"/>
      </w:pPr>
      <w:r>
        <w:t xml:space="preserve">Foydalanilgan adabiyotlar</w:t>
      </w:r>
    </w:p>
    <w:p>
      <w:pPr>
        <w:spacing w:after="80" w:line="260"/>
      </w:pPr>
      <w:r>
        <w:t xml:space="preserve">1. Leber AL, editor. Clinical Microbiology Procedures Handbook. 4th ed. Washington, DC: ASM Press; 2016. DOI: 10.1128/9781683670438.CMPH</w:t>
      </w:r>
    </w:p>
    <w:p>
      <w:pPr>
        <w:spacing w:after="80" w:line="260"/>
      </w:pPr>
      <w:r>
        <w:t xml:space="preserve">2. Tille PM. Bailey &amp; Scott's Diagnostic Microbiology. 15th ed. St. Louis: Elsevier; 2022. ISBN 978-0-323-68105-6.</w:t>
      </w:r>
    </w:p>
    <w:p>
      <w:pPr>
        <w:spacing w:after="80" w:line="260"/>
      </w:pPr>
      <w:r>
        <w:t xml:space="preserve">3. Procop GW, et al. Koneman's Color Atlas and Textbook of Diagnostic Microbiology. 7th ed. Philadelphia: Wolters Kluwer; 2017. ISBN 978-1-4511-1659-5.</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2026-10-29T01:27:08.607Z</dcterms:created>
  <dcterms:modified xsi:type="dcterms:W3CDTF">2026-10-29T01:27:08.608Z</dcterms:modified>
</cp:coreProperties>
</file>

<file path=docProps/custom.xml><?xml version="1.0" encoding="utf-8"?>
<Properties xmlns="http://schemas.openxmlformats.org/officeDocument/2006/custom-properties" xmlns:vt="http://schemas.openxmlformats.org/officeDocument/2006/docPropsVTypes"/>
</file>