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40"/>
      </w:pPr>
      <w:r>
        <w:t xml:space="preserve">038. Suvdagi koli-titr, koli-indeksni bijg'itish usulida aniqlash</w:t>
      </w:r>
    </w:p>
    <w:p>
      <w:pPr>
        <w:pStyle w:val="Heading2"/>
        <w:spacing w:after="120" w:before="200"/>
      </w:pPr>
      <w:r>
        <w:t xml:space="preserve">Kirish</w:t>
      </w:r>
    </w:p>
    <w:p>
      <w:pPr>
        <w:spacing w:after="120" w:line="276"/>
        <w:jc w:val="both"/>
      </w:pPr>
      <w:r>
        <w:t xml:space="preserve">Koli-titr va koli-indeks — suvning fekal (najasli) ifloslanish darajasini ifodalovchi an'anaviy sanitar-mikrobiologik ko'rsatkichlardir [1][2]. Koli-indeks — 1 litr suvda topilgan ichak tayoqchasi guruhi (koliform) bakteriyalari soni; koli-titr esa tarkibida bitta koliform bakteriya topiladigan suvning eng kichik hajmi (ml hisobida). Ikkala ko'rsatkich o'zaro teskari bog'langan: ifloslanish ortganda koli-indeks oshadi, koli-titr esa kamayadi. Koliformlar odam va issiqqonli hayvonlar ichagida doimo bo'lgani uchun ularning suvda topilishi fekal ifloslanishdan va ichak infeksiyalari qo'zg'atuvchilari bo'lishi ehtimolidan dalolat beradi.</w:t>
      </w:r>
    </w:p>
    <w:p>
      <w:pPr>
        <w:spacing w:after="120" w:line="276"/>
        <w:jc w:val="both"/>
      </w:pPr>
      <w:r>
        <w:t xml:space="preserve">Bijg'itish (achitish, ko'p probirkali) usuli — koliform bakteriyalarni ularning laktozani achitib kislota va gaz hosil qilish qobiliyatiga asoslanib aniqlaydigan klassik usuldir [1][2]. U suvning turli hajmlarini suyuq oziqa muhitiga ekib, qaysi probirkalarda gaz hosil bo'lishini kuzatishga va shu asosda bakteriyalar miqdorini statistik baholashga tayanadi. Usul ayniqsa loyqa, mikroblar ko'p bo'lgan va membranali filtrlashga nomaqbul suvlar uchun qulay, chunki unda suvning katta hajmlari ham tekshirilishi mumkin. Ko'p yillar davomida bu usul suv mikrobiologiyasida asosiy, arbitraj usul sifatida qo'llanib kelgan va hozirgacha o'z ahamiyatini yo'qotmagan, chunki u maxsus qimmat jihoz talab qilmaydi va turli sharoitdagi laboratoriyalarda bajarilishi mumkin.</w:t>
      </w:r>
    </w:p>
    <w:p>
      <w:pPr>
        <w:pStyle w:val="Heading2"/>
        <w:spacing w:after="120" w:before="200"/>
      </w:pPr>
      <w:r>
        <w:t xml:space="preserve">Usulning mohiyati</w:t>
      </w:r>
    </w:p>
    <w:p>
      <w:pPr>
        <w:spacing w:after="120" w:line="276"/>
        <w:jc w:val="both"/>
      </w:pPr>
      <w:r>
        <w:t xml:space="preserve">Bijg'itish usulining asosi — koliform bakteriyalarning laktozali suyuq muhitda ko'payib, laktozani achitishi va natijada kislota hamda gaz ajratishidir [1][2]. Gaz hosil bo'lishi muhitga botirilgan kichik ichaklik (Dyurem probirkachasi) ichida havo pufagi to'planishidan bilinadi; kislota esa muhitga qo'shilgan indikator rangining o'zgarishidan aniqlanadi. Shu tariqa har bir probirkada koliform borligini sifat jihatdan baholash mumkin bo'ladi. Miqdorni esa turli hajmdagi namunalar ekilgan probirkalardan qanchasida ijobiy natija kuzatilganiga qarab, eng ehtimoliy son (EES) jadvallari yordamida statistik usulda hisoblab chiqiladi.</w:t>
      </w:r>
    </w:p>
    <w:p>
      <w:pPr>
        <w:spacing w:after="120" w:line="276"/>
        <w:jc w:val="both"/>
      </w:pPr>
      <w:r>
        <w:t xml:space="preserve">Usul ikki bosqichda olib boriladi: dastlabki (taxminiy) achish va tasdiqlovchi bosqich [1][2]. Dastlabki bosqichda suv laktozali muhitga ekilib, gaz va kislota hosil bo'lishi kuzatiladi; bu bosqich koliformlarning borligiga shubha uyg'otadi. Tasdiqlovchi bosqichda ijobiy probirkalardan maxsus tanlab o'stiruvchi (selektiv) muhitga qayta ekish qilinadi, chunki laktozani ba'zi boshqa bakteriyalar ham achitib, yolg'on ijobiy natija berishi mumkin. Shu ikki bosqichli yondashuv natijaning ishonchliligini oshiradi. Ba'zi sxemalarda qo'shimcha ravishda ichak tayoqchasini aniqroq tasdiqlash uchun yuqori haroratda (odatda 44 gradus atrofida) o'stiriladigan bosqich ham qo'shiladi, chunki termotolerant koliformlar va Escherichia coli bu haroratda ham gaz hosil qiladi, bu esa fekal ifloslanishning aniqroq belgisidir.</w:t>
      </w:r>
    </w:p>
    <w:p>
      <w:pPr>
        <w:pStyle w:val="Heading2"/>
        <w:spacing w:after="120" w:before="200"/>
      </w:pPr>
      <w:r>
        <w:t xml:space="preserve">Ekish tartibi</w:t>
      </w:r>
    </w:p>
    <w:p>
      <w:pPr>
        <w:spacing w:after="120" w:line="276"/>
        <w:jc w:val="both"/>
      </w:pPr>
      <w:r>
        <w:t xml:space="preserve">Tahlil uchun suvning turli hajmlari belgilangan konsentratsiyali laktozali-peptonli muhitga ekiladi [1][2]. Suvning katta hajmlari (masalan, 100 va 10 ml) konsentratsiyasi oshirilgan muhitga, kichik hajmlari (1 va 0,1 ml) esa oddiy konsentratsiyali muhitga ekiladi, shunda ekishdan keyin muhit tarkibi me'yorida qoladi. Odatda har bir hajmdan bir necha probirka (parallel) olinadi — probirkalar soni qancha ko'p bo'lsa, natija shunchalik aniq. Ekish tartibi quyidagicha bo'lishi mumkin:</w:t>
      </w:r>
    </w:p>
    <w:p>
      <w:pPr>
        <w:pStyle w:val="ListParagraph"/>
        <w:numPr>
          <w:ilvl w:val="0"/>
          <w:numId w:val="2"/>
        </w:numPr>
        <w:spacing w:after="60" w:line="276"/>
      </w:pPr>
      <w:r>
        <w:t xml:space="preserve">suv namunasi yaxshilab aralashtiriladi, shunda mikroblar bir tekis taqsimlanadi;</w:t>
      </w:r>
    </w:p>
    <w:p>
      <w:pPr>
        <w:pStyle w:val="ListParagraph"/>
        <w:numPr>
          <w:ilvl w:val="0"/>
          <w:numId w:val="2"/>
        </w:numPr>
        <w:spacing w:after="60" w:line="276"/>
      </w:pPr>
      <w:r>
        <w:t xml:space="preserve">steril pipetkalar yordamida belgilangan hajmlar tegishli muhitli probirkalarga solinadi;</w:t>
      </w:r>
    </w:p>
    <w:p>
      <w:pPr>
        <w:pStyle w:val="ListParagraph"/>
        <w:numPr>
          <w:ilvl w:val="0"/>
          <w:numId w:val="2"/>
        </w:numPr>
        <w:spacing w:after="60" w:line="276"/>
      </w:pPr>
      <w:r>
        <w:t xml:space="preserve">ekilgan probirkalar 37 gradusda belgilangan muddat (odatda 24–48 soat) inkubatsiya qilinadi;</w:t>
      </w:r>
    </w:p>
    <w:p>
      <w:pPr>
        <w:pStyle w:val="ListParagraph"/>
        <w:numPr>
          <w:ilvl w:val="0"/>
          <w:numId w:val="2"/>
        </w:numPr>
        <w:spacing w:after="60" w:line="276"/>
      </w:pPr>
      <w:r>
        <w:t xml:space="preserve">gaz va kislota hosil bo'lgan probirkalar ijobiy deb belgilanadi.</w:t>
      </w:r>
    </w:p>
    <w:p>
      <w:pPr>
        <w:spacing w:after="120" w:line="276"/>
        <w:jc w:val="both"/>
      </w:pPr>
      <w:r>
        <w:t xml:space="preserve">Ekishda aseptik qoidalarga qat'iy rioya qilinadi: idishlar steril bo'lishi, har bir hajm uchun alohida steril pipetka ishlatilishi va ish steril zonada bajarilishi shart [1][2]. Nazorat sifatida ekilmagan steril muhitli probirka ham inkubatsiya qilinadi; unda gaz va rang o'zgarishi bo'lmasligi muhitning sterilligini tasdiqlaydi. Inkubatsiya muddati tugaguncha natija baholanmaydi, shoshilinch xulosa yolg'on manzara berishi mumkin.</w:t>
      </w:r>
    </w:p>
    <w:p>
      <w:pPr>
        <w:pStyle w:val="Heading2"/>
        <w:spacing w:after="120" w:before="200"/>
      </w:pPr>
      <w:r>
        <w:t xml:space="preserve">Tasdiqlovchi bosqich va natijani hisoblash</w:t>
      </w:r>
    </w:p>
    <w:p>
      <w:pPr>
        <w:spacing w:after="120" w:line="276"/>
        <w:jc w:val="both"/>
      </w:pPr>
      <w:r>
        <w:t xml:space="preserve">Dastlabki bosqichda gaz bergan probirkalardan tasdiqlovchi tekshiruv o'tkaziladi [1][2]. Buning uchun ijobiy probirkadan koliformlarni tanlab o'stiruvchi, o't kislotalari va bo'yoq saqlovchi muhitga (masalan, Endo tipidagi muhit) ekiladi; koliformlar bu muhitda xarakterli rangli koloniyalar hosil qiladi. Shubhali koloniyalar gram bo'yicha bo'yaladi (grammanfiy, sporasiz tayoqchalar), zarur bo'lsa laktozani achitishi qayta tekshiriladi. Shu tariqa laktozani achituvchi, lekin koliform bo'lmagan mikroblarga bog'liq yolg'on ijobiy natijalar istisno qilinadi va faqat haqiqiy koliformlar hisobga olinadi.</w:t>
      </w:r>
    </w:p>
    <w:p>
      <w:pPr>
        <w:spacing w:after="120" w:line="276"/>
        <w:jc w:val="both"/>
      </w:pPr>
      <w:r>
        <w:t xml:space="preserve">Tasdiqlangan natijalar asosida har bir hajmdan nechta probirka ijobiy ekani belgilanadi va bu kombinatsiya eng ehtimoliy son (EES) jadvali bo'yicha miqdorga aylantiriladi [1][2]. Shu miqdordan koli-indeks (1 litrdagi koliformlar soni) va undan koli-titr (1 koliform topiladigan eng kichik hajm) hisoblab chiqiladi. Masalan, koli-indeks katta bo'lsa, koli-titr kichik bo'ladi va suv kuchli ifloslangan hisoblanadi. Hisoblashda ekilgan hajmlar va suyultirishlar to'g'ri hisobga olinishi natijaning aniqligini belgilaydi. EES jadvali ma'lum ehtimollik qonuniyatiga asoslangan bo'lib, ijobiy probirkalar sonining har bir kombinatsiyasiga mos keladigan eng ehtimoliy mikrob miqdorini ko'rsatadi; shu bois ekishda parallel probirkalar soni qancha ko'p bo'lsa, olingan koli-indeks va koli-titr qiymatlari shunchalik ishonchli chiqadi.</w:t>
      </w:r>
    </w:p>
    <w:p>
      <w:pPr>
        <w:pStyle w:val="Heading2"/>
        <w:spacing w:after="120" w:before="200"/>
      </w:pPr>
      <w:r>
        <w:t xml:space="preserve">Afzalliklari va kamchiliklari</w:t>
      </w:r>
    </w:p>
    <w:p>
      <w:pPr>
        <w:spacing w:after="120" w:line="276"/>
        <w:jc w:val="both"/>
      </w:pPr>
      <w:r>
        <w:t xml:space="preserve">Bijg'itish usulining asosiy afzalligi — loyqa, cho'kindili va mikroblar ko'p bo'lgan suvlar uchun ham qo'llanishi, suvning katta hajmlarini tekshirish imkoni va maxsus qimmat jihozlar talab qilmasligidir [1][2]. Shu bois u resurslari cheklangan laboratoriyalarda ham keng ishlatiladi. Usulning kamchiliklari esa uning ko'p bosqichli va vaqt talab qilishi (natija bir necha kunda tayyor bo'ladi), ko'p miqdordagi idish va muhit sarflanishi hamda EES orqali olinadigan natijaning statistik, taxminiy xususiyatidir.</w:t>
      </w:r>
    </w:p>
    <w:p>
      <w:pPr>
        <w:spacing w:after="120" w:line="276"/>
        <w:jc w:val="both"/>
      </w:pPr>
      <w:r>
        <w:t xml:space="preserve">Shu sabablarga ko'ra nisbatan toza suvlarni tez tekshirish zarur bo'lganda membranali filtrlash usuli afzal ko'riladi [1][2]. Biroq bijg'itish usuli standart, taqqoslanadigan natija beradigan ishonchli klassik usul bo'lib qolmoqda va ko'p hollarda arbitraj (yakuniy) usul sifatida qo'llaniladi. Usul tanlashda suvning turi, kutilayotgan ifloslanish darajasi, zarur aniqlik va laboratoriya imkoniyatlari birgalikda hisobga olinadi.</w:t>
      </w:r>
    </w:p>
    <w:p>
      <w:pPr>
        <w:pStyle w:val="Heading2"/>
        <w:spacing w:after="120" w:before="200"/>
      </w:pPr>
      <w:r>
        <w:t xml:space="preserve">Xulosa</w:t>
      </w:r>
    </w:p>
    <w:p>
      <w:pPr>
        <w:spacing w:after="120" w:line="276"/>
        <w:jc w:val="both"/>
      </w:pPr>
      <w:r>
        <w:t xml:space="preserve">Koli-titr va koli-indeksni bijg'itish usulida aniqlash — suvning fekal ifloslanishini baholashning klassik, ishonchli usulidir. U koliform bakteriyalarning laktozani achitib gaz va kislota hosil qilishiga asoslanadi; suvning turli hajmlari suyuq muhitga ekiladi, ijobiy probirkalar tasdiqlovchi bosqichda qayta tekshiriladi va eng ehtimoliy son jadvali yordamida koli-indeks hamda koli-titr hisoblanadi. Usul loyqa va mikroblar ko'p suvlar uchun qulay, lekin ko'p bosqichli va vaqt talab qiladi. Aseptik ishlash, tasdiqlovchi bosqich va to'g'ri hisoblash natijaning to'g'riligini ta'minlaydi. O'zbekistonda ichimlik suvining koliform ko'rsatkichlariga qo'yiladigan talablar tegishli normativ hujjatlar bilan belgilanadi [3]. Bu usulni to'g'ri qo'llash suvning epidemiologik xavfsizligini nazorat qilishning muhim vositasidir.</w:t>
      </w:r>
    </w:p>
    <w:p>
      <w:pPr>
        <w:pStyle w:val="Heading2"/>
        <w:spacing w:after="120" w:before="240"/>
      </w:pPr>
      <w:r>
        <w:t xml:space="preserve">Foydalanilgan adabiyotlar</w:t>
      </w:r>
    </w:p>
    <w:p>
      <w:pPr>
        <w:spacing w:after="80" w:line="260"/>
      </w:pPr>
      <w:r>
        <w:t xml:space="preserve">1. World Health Organization. Guidelines for drinking-water quality. 4th ed. incorporating the first and second addenda. Geneva: WHO; 2022. ISBN 978-92-4-004506-4. URL: https://www.who.int/publications/i/item/9789240045064</w:t>
      </w:r>
    </w:p>
    <w:p>
      <w:pPr>
        <w:spacing w:after="80" w:line="260"/>
      </w:pPr>
      <w:r>
        <w:t xml:space="preserve">2. Tille PM. Bailey &amp; Scott's Diagnostic Microbiology. 15th ed. St. Louis: Elsevier; 2022. ISBN 978-0-323-68105-6.</w:t>
      </w:r>
    </w:p>
    <w:p>
      <w:pPr>
        <w:spacing w:after="80" w:line="260"/>
      </w:pPr>
      <w:r>
        <w:t xml:space="preserve">3. O'RQ-784. 22.02.2022. Ichimlik suvi ta'minoti va oqova suvlarni chiqarib yuborish to'g'risida qonun. Toshkent; 2022. URL: https://xayrullokomilov.uz/kutubxona/224</w:t>
      </w:r>
    </w:p>
    <w:sectPr>
      <w:pgSz w:w="11906" w:h="16838" w:orient="portrait"/>
      <w:pgMar w:top="1134" w:right="850" w:bottom="1134" w:left="1418"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76" w:hanging="316"/>
      </w:pPr>
    </w:lvl>
  </w:abstractNum>
  <w:abstractNum w:abstractNumId="3" w15:restartNumberingAfterBreak="0">
    <w:multiLevelType w:val="hybridMultilevel"/>
    <w:lvl w:ilvl="0" w:tentative="1">
      <w:start w:val="1"/>
      <w:numFmt w:val="decimal"/>
      <w:lvlText w:val="%1."/>
      <w:lvlJc w:val="left"/>
      <w:pPr>
        <w:ind w:left="576" w:hanging="316"/>
      </w:p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defaultTabStop w:val="720"/>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8"/>
        <w:szCs w:val="28"/>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paragraph" w:styleId="Caption">
    <w:name w:val="caption"/>
    <w:basedOn w:val="Normal"/>
    <w:next w:val="Normal"/>
    <w:uiPriority w:val="35"/>
    <w:semiHidden/>
    <w:unhideWhenUsed/>
    <w:qFormat/>
    <w:pPr>
      <w:spacing w:after="200"/>
    </w:pPr>
    <w:rPr>
      <w:i/>
      <w:iCs/>
      <w:color w:val="44546A" w:themeColor="dark2"/>
      <w:sz w:val="18"/>
      <w:szCs w:val="18"/>
    </w:rPr>
  </w:style>
  <w:style w:type="paragraph" w:styleId="Bibliography">
    <w:name w:val="Bibliography"/>
    <w:basedOn w:val="Normal"/>
    <w:next w:val="Normal"/>
    <w:uiPriority w:val="37"/>
    <w:unhideWhenUsed/>
  </w:style>
  <w:style w:type="paragraph" w:styleId="TOC1">
    <w:name w:val="toc 1"/>
    <w:basedOn w:val="Normal"/>
    <w:next w:val="Normal"/>
    <w:uiPriority w:val="39"/>
    <w:semiHidden/>
    <w:unhideWhenUsed/>
    <w:pPr>
      <w:spacing w:after="100"/>
    </w:pPr>
  </w:style>
  <w:style w:type="paragraph" w:styleId="TOC2">
    <w:name w:val="toc 2"/>
    <w:basedOn w:val="Normal"/>
    <w:next w:val="Normal"/>
    <w:uiPriority w:val="39"/>
    <w:semiHidden/>
    <w:unhideWhenUsed/>
    <w:pPr>
      <w:spacing w:after="100"/>
      <w:ind w:left="280"/>
    </w:pPr>
  </w:style>
  <w:style w:type="paragraph" w:styleId="TOC3">
    <w:name w:val="toc 3"/>
    <w:basedOn w:val="Normal"/>
    <w:next w:val="Normal"/>
    <w:uiPriority w:val="39"/>
    <w:semiHidden/>
    <w:unhideWhenUsed/>
    <w:pPr>
      <w:spacing w:after="100"/>
      <w:ind w:left="560"/>
    </w:pPr>
  </w:style>
  <w:style w:type="paragraph" w:styleId="TOC4">
    <w:name w:val="toc 4"/>
    <w:basedOn w:val="Normal"/>
    <w:next w:val="Normal"/>
    <w:uiPriority w:val="39"/>
    <w:semiHidden/>
    <w:unhideWhenUsed/>
    <w:pPr>
      <w:spacing w:after="100"/>
      <w:ind w:left="840"/>
    </w:pPr>
  </w:style>
  <w:style w:type="paragraph" w:styleId="TOC5">
    <w:name w:val="toc 5"/>
    <w:basedOn w:val="Normal"/>
    <w:next w:val="Normal"/>
    <w:uiPriority w:val="39"/>
    <w:semiHidden/>
    <w:unhideWhenUsed/>
    <w:pPr>
      <w:spacing w:after="100"/>
      <w:ind w:left="1120"/>
    </w:pPr>
  </w:style>
  <w:style w:type="paragraph" w:styleId="TOC6">
    <w:name w:val="toc 6"/>
    <w:basedOn w:val="Normal"/>
    <w:next w:val="Normal"/>
    <w:uiPriority w:val="39"/>
    <w:semiHidden/>
    <w:unhideWhenUsed/>
    <w:pPr>
      <w:spacing w:after="100"/>
      <w:ind w:left="1400"/>
    </w:pPr>
  </w:style>
  <w:style w:type="paragraph" w:styleId="TOC7">
    <w:name w:val="toc 7"/>
    <w:basedOn w:val="Normal"/>
    <w:next w:val="Normal"/>
    <w:uiPriority w:val="39"/>
    <w:semiHidden/>
    <w:unhideWhenUsed/>
    <w:pPr>
      <w:spacing w:after="100"/>
      <w:ind w:left="1680"/>
    </w:pPr>
  </w:style>
  <w:style w:type="paragraph" w:styleId="TOC8">
    <w:name w:val="toc 8"/>
    <w:basedOn w:val="Normal"/>
    <w:next w:val="Normal"/>
    <w:uiPriority w:val="39"/>
    <w:semiHidden/>
    <w:unhideWhenUsed/>
    <w:pPr>
      <w:spacing w:after="100"/>
      <w:ind w:left="1960"/>
    </w:pPr>
  </w:style>
  <w:style w:type="paragraph" w:styleId="TOC9">
    <w:name w:val="toc 9"/>
    <w:basedOn w:val="Normal"/>
    <w:next w:val="Normal"/>
    <w:uiPriority w:val="39"/>
    <w:semiHidden/>
    <w:unhideWhenUsed/>
    <w:pPr>
      <w:spacing w:after="100"/>
      <w:ind w:left="2240"/>
    </w:pPr>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character" w:styleId="LineNumber">
    <w:name w:val="line number"/>
    <w:basedOn w:val="DefaultParagraphFont"/>
    <w:uiPriority w:val="99"/>
    <w:semiHidden/>
    <w:unhideWhenUsed/>
  </w:style>
  <w:style w:type="paragraph" w:styleId="Heading1">
    <w:name w:val="Heading 1"/>
    <w:basedOn w:val="Normal"/>
    <w:next w:val="Normal"/>
    <w:pPr>
      <w:spacing w:after="240"/>
      <w:jc w:val="center"/>
    </w:pPr>
    <w:rPr>
      <w:rFonts w:ascii="Times New Roman" w:cs="Times New Roman" w:eastAsia="Times New Roman" w:hAnsi="Times New Roman"/>
      <w:b/>
      <w:bCs/>
      <w:sz w:val="32"/>
      <w:szCs w:val="32"/>
    </w:rPr>
  </w:style>
  <w:style w:type="paragraph" w:styleId="Heading2">
    <w:name w:val="Heading 2"/>
    <w:basedOn w:val="Normal"/>
    <w:next w:val="Normal"/>
    <w:pPr>
      <w:spacing w:after="120" w:before="200"/>
    </w:pPr>
    <w:rPr>
      <w:rFonts w:ascii="Times New Roman" w:cs="Times New Roman" w:eastAsia="Times New Roman" w:hAnsi="Times New Roman"/>
      <w:b/>
      <w:bCs/>
      <w:sz w:val="28"/>
      <w:szCs w:val="28"/>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2026-10-29T04:22:03.493Z</dcterms:created>
  <dcterms:modified xsi:type="dcterms:W3CDTF">2026-10-29T04:22:03.494Z</dcterms:modified>
</cp:coreProperties>
</file>

<file path=docProps/custom.xml><?xml version="1.0" encoding="utf-8"?>
<Properties xmlns="http://schemas.openxmlformats.org/officeDocument/2006/custom-properties" xmlns:vt="http://schemas.openxmlformats.org/officeDocument/2006/docPropsVTypes"/>
</file>