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pPr>
      <w:r>
        <w:t xml:space="preserve">064. Buyumlardan namuna olish, yo'llanma xatini to'ldirish</w:t>
      </w:r>
    </w:p>
    <w:p>
      <w:pPr>
        <w:pStyle w:val="Heading2"/>
        <w:spacing w:after="120" w:before="200"/>
      </w:pPr>
      <w:r>
        <w:t xml:space="preserve">Kirish</w:t>
      </w:r>
    </w:p>
    <w:p>
      <w:pPr>
        <w:spacing w:after="120" w:line="276"/>
        <w:jc w:val="both"/>
      </w:pPr>
      <w:r>
        <w:t xml:space="preserve">Buyumlardan namuna olish — sanitar-bakteriologik tekshiruvning birinchi va eng mas'uliyatli bosqichi bo'lib, undan butun tahlilning ishonchliligi bog'liq [1][2]. Noto'g'ri olingan, ifloslangan yoki kech yetkazilgan namuna eng mukammal laboratoriya usuli bilan tekshirilganda ham xato natija beradi. Shu bois namuna olish qoidalariga qat'iy rioya qilish va har bir namunani aniq hujjatlashtirish — tekshiruv sifatining asosiy shartidir. Buyumlar deganda idish-tovoq, inventar, uskunalar, qo'l, kiyim, ish yuzalari va boshqa muhit obyektlari tushuniladi.</w:t>
      </w:r>
    </w:p>
    <w:p>
      <w:pPr>
        <w:spacing w:after="120" w:line="276"/>
        <w:jc w:val="both"/>
      </w:pPr>
      <w:r>
        <w:t xml:space="preserve">Namuna olishdan asosiy maqsad — obyekt yuzasining mikrobiologik holatini xolis aks ettiruvchi material to'plashdir [1][2]. Buning uchun namuna vakillik qiluvchi (reprezentativ) bo'lishi, steril sharoitda, belgilangan usul bilan olinishi va aniq yorliqlanishi lozim. Har bir namunaga yo'llanma xati biriktiriladi; usiz laboratoriya namunani qabul qilmaydi, chunki uning kelib chiqishi va tekshiruv maqsadi noma'lum bo'lib qoladi. Shu tariqa namuna olish bilan hujjatlashtirish uzviy bog'liq jarayon hisoblanadi.</w:t>
      </w:r>
    </w:p>
    <w:p>
      <w:pPr>
        <w:pStyle w:val="Heading2"/>
        <w:spacing w:after="120" w:before="200"/>
      </w:pPr>
      <w:r>
        <w:t xml:space="preserve">Namuna olishga tayyorgarlik</w:t>
      </w:r>
    </w:p>
    <w:p>
      <w:pPr>
        <w:spacing w:after="120" w:line="276"/>
        <w:jc w:val="both"/>
      </w:pPr>
      <w:r>
        <w:t xml:space="preserve">Namuna olishdan oldin steril asbob-anjom va eritmalar tayyorlanadi [1][2]. Bularga steril paxtali tamponlar, steril fiziologik eritma yoki tamponni namlash uchun yuvuvchi suyuqlik solingan probirkalar, steril Petri likobchalari, pipetkalar, pintset, qaychi va yorliqlar kiradi. Barcha jihozlar oldindan avtoklavda yoki quruq-havoli sterilizatorda zararsizlantirilgan bo'lishi kerak. Namuna oluvchi xodim steril xalat, qo'lqop va niqob kiyadi, qo'lini antiseptik bilan ishlaydi.</w:t>
      </w:r>
    </w:p>
    <w:p>
      <w:pPr>
        <w:spacing w:after="120" w:line="276"/>
        <w:jc w:val="both"/>
      </w:pPr>
      <w:r>
        <w:t xml:space="preserve">Namuna olish vaqti va joyi tekshiruv maqsadiga mos tanlanadi [1][2]. Masalan, idish-tovozolarning tozaligi ularni yuvib-zararsizlantirgandan keyin, ovqatlanish boshlanishidan oldin baholanadi. Sanitar holatni real baholash uchun namuna ish jarayonining xarakterli daqiqasida olinadi. Har bir obyektdan bir nechta nuqtadan namuna olib, umumiy vakillik ta'minlanadi. Namuna olishda tashqi muhit (havo, qo'shni yuzalar) orqali ikkilamchi ifloslanishning oldi olinadi. Namuna olinadigan nuqtalar oldindan rejada belgilanadi: eng ko'p ifloslanish ehtimoli bo'lgan, oziq-ovqat bilan bevosita kontaktda bo'ladigan va qo'l tez-tez tegadigan yuzalar birinchi navbatda tanlanadi. Rejalashtirilgan nuqtalar tekshiruvning izchilligini ta'minlaydi va turli muddatlardagi natijalarni taqqoslash imkonini beradi.</w:t>
      </w:r>
    </w:p>
    <w:p>
      <w:pPr>
        <w:pStyle w:val="Heading2"/>
        <w:spacing w:after="120" w:before="200"/>
      </w:pPr>
      <w:r>
        <w:t xml:space="preserve">Surtma (smyv) olish usuli</w:t>
      </w:r>
    </w:p>
    <w:p>
      <w:pPr>
        <w:spacing w:after="120" w:line="276"/>
        <w:jc w:val="both"/>
      </w:pPr>
      <w:r>
        <w:t xml:space="preserve">Yuzalardan namuna olishning asosiy usuli — surtma (smyv) olishdir [1][2]. Steril tampon steril yuvuvchi suyuqlikka botirilib, biroz siqiladi va tekshiriladigan yuzaga qattiq bosib surtiladi. Yuza bo'yicha tampon turli yo'nalishlarda (bo'ylama, ko'ndalang, aylanma) harakatlantirilib, iloji boricha ko'proq mikrob yig'iladi. Namuna maydonini standartlashtirish uchun steril trafaret (odatda 100 kvadrat santimetr, ya'ni 10x10 sm) qo'llaniladi; bir nechta kichik obyektdan (masalan, bir nechta likobcha yoki qoshiqdan) bitta tampon bilan birlashtirilgan namuna olinishi mumkin.</w:t>
      </w:r>
    </w:p>
    <w:p>
      <w:pPr>
        <w:spacing w:after="120" w:line="276"/>
        <w:jc w:val="both"/>
      </w:pPr>
      <w:r>
        <w:t xml:space="preserve">Surtma olingach, tampon darhol yuvuvchi suyuqlik solingan probirkaga qaytariladi va berkitiladi [1][2]. Qo'llardan namuna olishda tampon barmoqlar, kaft, barmoqlararo bo'shliqlar va tirnoq ostini qamrab oladi. Ichak tayoqchasi guruhini tekshirishda namuna to'g'ridan-to'g'ri selektiv muhitga ekilishi yoki boyituvchi muhitga solinishi mumkin. Suyuq mahsulot yoki yuvindi suvdan namuna steril pipetka bilan steril idishga olinadi. Qattiq mahsulotdan namuna steril asbob bilan kesib yoki qirib olinadi.</w:t>
      </w:r>
    </w:p>
    <w:p>
      <w:pPr>
        <w:pStyle w:val="Heading2"/>
        <w:spacing w:after="120" w:before="200"/>
      </w:pPr>
      <w:r>
        <w:t xml:space="preserve">Namunalarni saqlash va yetkazish</w:t>
      </w:r>
    </w:p>
    <w:p>
      <w:pPr>
        <w:spacing w:after="120" w:line="276"/>
        <w:jc w:val="both"/>
      </w:pPr>
      <w:r>
        <w:t xml:space="preserve">Olingan namuna imkon qadar tez laboratoriyaga yetkazilishi kerak, chunki vaqt o'tishi bilan mikroblar soni va tarkibi o'zgaradi [1][2]. Odatda namuna 2 soat ichida, sovitilgan holatda (termokonteynerda, muz akkumulyatori bilan 4-6 gradus atrofida) tekshiriladi; agar bu mumkin bo'lmasa, saqlash sharoiti va muddati yo'riqnomaga muvofiq cheklanadi. Namunalar tik holatda, to'kilib ketmaydigan qilib joylashtiriladi, har biri aniq raqamlanadi va yo'llanma xatidagi raqamga mos keladi.</w:t>
      </w:r>
    </w:p>
    <w:p>
      <w:pPr>
        <w:spacing w:after="120" w:line="276"/>
        <w:jc w:val="both"/>
      </w:pPr>
      <w:r>
        <w:t xml:space="preserve">Namunalarni tashishda sovuq zanjir (cold chain) va biologik xavfsizlik qoidalariga rioya qilinadi [1][3]. Namuna solingan idishlar germetik yopiladi, ikkilamchi idishga joylanadi va zarur hollarda yutuvchi material bilan o'raladi. Bu xodim va atrof-muhitni ifloslanishdan himoya qiladi. Yetkazilgan namunalar laboratoriyada qabul qilinganda yo'llanma xatiga muvofiq tekshirilib, holati (butunligi, harorati) qayd etiladi.</w:t>
      </w:r>
    </w:p>
    <w:p>
      <w:pPr>
        <w:pStyle w:val="Heading2"/>
        <w:spacing w:after="120" w:before="200"/>
      </w:pPr>
      <w:r>
        <w:t xml:space="preserve">Yo'llanma xatini to'ldirish</w:t>
      </w:r>
    </w:p>
    <w:p>
      <w:pPr>
        <w:spacing w:after="120" w:line="276"/>
        <w:jc w:val="both"/>
      </w:pPr>
      <w:r>
        <w:t xml:space="preserve">Har bir namuna yoki namunalar to'plamiga yo'llanma xati (yo'riqnoma, soprovoditel hujjat) ilova qilinadi [1][2]. Bu hujjat namuna haqidagi barcha zaruriy ma'lumotni o'z ichiga oladi va laboratoriya bilan namuna oluvchi o'rtasidagi rasmiy aloqa vositasi hisoblanadi. Yo'llanma xatida quyidagi ma'lumotlar aniq ko'rsatiladi:</w:t>
      </w:r>
    </w:p>
    <w:p>
      <w:pPr>
        <w:pStyle w:val="ListParagraph"/>
        <w:numPr>
          <w:ilvl w:val="0"/>
          <w:numId w:val="2"/>
        </w:numPr>
        <w:spacing w:after="60" w:line="276"/>
      </w:pPr>
      <w:r>
        <w:t xml:space="preserve">namuna olingan muassasa yoki obyektning nomi va manzili;</w:t>
      </w:r>
    </w:p>
    <w:p>
      <w:pPr>
        <w:pStyle w:val="ListParagraph"/>
        <w:numPr>
          <w:ilvl w:val="0"/>
          <w:numId w:val="2"/>
        </w:numPr>
        <w:spacing w:after="60" w:line="276"/>
      </w:pPr>
      <w:r>
        <w:t xml:space="preserve">namunaning tartib raqami va turi (surtma, suyuqlik, mahsulot);</w:t>
      </w:r>
    </w:p>
    <w:p>
      <w:pPr>
        <w:pStyle w:val="ListParagraph"/>
        <w:numPr>
          <w:ilvl w:val="0"/>
          <w:numId w:val="2"/>
        </w:numPr>
        <w:spacing w:after="60" w:line="276"/>
      </w:pPr>
      <w:r>
        <w:t xml:space="preserve">namuna olingan aniq nuqta yoki buyum (masalan, osh tayyorlash stoli, tarelka);</w:t>
      </w:r>
    </w:p>
    <w:p>
      <w:pPr>
        <w:pStyle w:val="ListParagraph"/>
        <w:numPr>
          <w:ilvl w:val="0"/>
          <w:numId w:val="2"/>
        </w:numPr>
        <w:spacing w:after="60" w:line="276"/>
      </w:pPr>
      <w:r>
        <w:t xml:space="preserve">namuna olingan sana va aniq vaqt;</w:t>
      </w:r>
    </w:p>
    <w:p>
      <w:pPr>
        <w:pStyle w:val="ListParagraph"/>
        <w:numPr>
          <w:ilvl w:val="0"/>
          <w:numId w:val="2"/>
        </w:numPr>
        <w:spacing w:after="60" w:line="276"/>
      </w:pPr>
      <w:r>
        <w:t xml:space="preserve">tekshiruv maqsadi va aniqlanishi kerak bo'lgan ko'rsatkich (ichak tayoqchasi guruhi, umumiy mikrob soni, stafilokokk);</w:t>
      </w:r>
    </w:p>
    <w:p>
      <w:pPr>
        <w:pStyle w:val="ListParagraph"/>
        <w:numPr>
          <w:ilvl w:val="0"/>
          <w:numId w:val="2"/>
        </w:numPr>
        <w:spacing w:after="60" w:line="276"/>
      </w:pPr>
      <w:r>
        <w:t xml:space="preserve">namuna olish sharoiti (yuvishdan oldin yoki keyin) va saqlash harorati;</w:t>
      </w:r>
    </w:p>
    <w:p>
      <w:pPr>
        <w:pStyle w:val="ListParagraph"/>
        <w:numPr>
          <w:ilvl w:val="0"/>
          <w:numId w:val="2"/>
        </w:numPr>
        <w:spacing w:after="60" w:line="276"/>
      </w:pPr>
      <w:r>
        <w:t xml:space="preserve">namuna olgan xodimning familiyasi, lavozimi va imzosi.</w:t>
      </w:r>
    </w:p>
    <w:p>
      <w:pPr>
        <w:spacing w:after="120" w:line="276"/>
        <w:jc w:val="both"/>
      </w:pPr>
      <w:r>
        <w:t xml:space="preserve">Yo'llanma xati aniq, o'qilishi oson va tuzatishsiz to'ldirilishi kerak [1][2]. Namunadagi yorliq raqami yo'llanma xatidagi raqamga to'liq mos kelishi shart; aks holda natijalarni chalkashtirish xavfi tug'iladi. Hujjatda ko'rsatilgan sana va vaqt natijani talqin qilishda, saqlash muddatini baholashda muhim rol o'ynaydi. Laboratoriya namunani qabul qilganda yo'llanma xatining to'liqligini tekshiradi; kamchilik bo'lsa, namuna qaytarilishi yoki izoh bilan qabul qilinishi mumkin. To'ldirilgan hujjatlar belgilangan muddat davomida saqlanadi.</w:t>
      </w:r>
    </w:p>
    <w:p>
      <w:pPr>
        <w:pStyle w:val="Heading2"/>
        <w:spacing w:after="120" w:before="200"/>
      </w:pPr>
      <w:r>
        <w:t xml:space="preserve">Xatolar va ularning oldini olish</w:t>
      </w:r>
    </w:p>
    <w:p>
      <w:pPr>
        <w:spacing w:after="120" w:line="276"/>
        <w:jc w:val="both"/>
      </w:pPr>
      <w:r>
        <w:t xml:space="preserve">Namuna olishdagi eng keng tarqalgan xatolar — nosteril asbobdan foydalanish, namunani ikkilamchi ifloslantirish, yetarli material olmaslik, kech yetkazish va yo'llanma xatini noto'liq to'ldirishdir [1][2]. Bu xatolar soxta-musbat yoki soxta-manfiy natijaga olib keladi va sanitar holat haqida noto'g'ri xulosa chiqarishga sabab bo'ladi. Ularning oldini olish uchun steril texnika qat'iy saqlanadi, namuna olish standart usulda bajariladi va har bir bosqich nazorat qilinadi.</w:t>
      </w:r>
    </w:p>
    <w:p>
      <w:pPr>
        <w:pStyle w:val="Heading2"/>
        <w:spacing w:after="120" w:before="200"/>
      </w:pPr>
      <w:r>
        <w:t xml:space="preserve">Xulosa</w:t>
      </w:r>
    </w:p>
    <w:p>
      <w:pPr>
        <w:spacing w:after="120" w:line="276"/>
        <w:jc w:val="both"/>
      </w:pPr>
      <w:r>
        <w:t xml:space="preserve">Buyumlardan namuna olish va yo'llanma xatini to'ldirish — sanitar-bakteriologik tekshiruvning poydevoridir. To'g'ri tayyorlangan steril jihoz, standart surtma olish usuli, namunani tez va sovuqda yetkazish hamda to'liq, aniq hujjatlashtirish tahlil natijasining ishonchliligini belgilaydi. Yo'llanma xati namuna bilan laboratoriya o'rtasidagi uzilmas bog'lanishni ta'minlab, har bir natijani aniq obyektga va vaqtga bog'laydi. Namuna olish qoidalariga e'tiborsizlik butun tekshiruvni foydasiz qilib, aholi salomatligi uchun xavf tug'diradi. Shu bois namuna oluvchi xodimning malakasi, intizomi va hujjatlashtirishga mas'uliyatli yondashuvi sanitar nazoratning samaradorligini kafolatlaydi hamda olingan natijalarni huquqiy jihatdan ishonchli dalilga aylantiradi. Puxta tashkil etilgan namuna olish va hujjatlashtirish tizimi, shuningdek olingan natijalarni oldingi tekshiruvlar bilan taqqoslash imkoniyati muassasada sanitar holatning dinamik nazoratini yo'lga qo'yadi va profilaktik chora-tadbirlarni o'z vaqtida belgilashga asos bo'ladi.</w:t>
      </w:r>
    </w:p>
    <w:p>
      <w:pPr>
        <w:pStyle w:val="Heading2"/>
        <w:spacing w:after="120" w:before="240"/>
      </w:pPr>
      <w:r>
        <w:t xml:space="preserve">Foydalanilgan adabiyotlar</w:t>
      </w:r>
    </w:p>
    <w:p>
      <w:pPr>
        <w:spacing w:after="80" w:line="260"/>
      </w:pPr>
      <w:r>
        <w:t xml:space="preserve">1. Leber AL, editor. Clinical Microbiology Procedures Handbook. 4th ed. Washington, DC: ASM Press; 2016. DOI: 10.1128/9781683670438.CMPH</w:t>
      </w:r>
    </w:p>
    <w:p>
      <w:pPr>
        <w:spacing w:after="80" w:line="260"/>
      </w:pPr>
      <w:r>
        <w:t xml:space="preserve">2. Tille PM. Bailey &amp; Scott's Diagnostic Microbiology. 15th ed. St. Louis: Elsevier; 2022. ISBN 978-0-323-68105-6.</w:t>
      </w:r>
    </w:p>
    <w:p>
      <w:pPr>
        <w:spacing w:after="80" w:line="260"/>
      </w:pPr>
      <w:r>
        <w:t xml:space="preserve">3. World Health Organization. Laboratory biosafety manual. 4th ed. Geneva: WHO; 2020. URL: https://apps.who.int/iris/handle/10665/337956</w:t>
      </w:r>
    </w:p>
    <w:sectPr>
      <w:pgSz w:w="11906" w:h="16838" w:orient="portrait"/>
      <w:pgMar w:top="1134" w:right="850" w:bottom="1134"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76" w:hanging="316"/>
      </w:pPr>
    </w:lvl>
  </w:abstractNum>
  <w:abstractNum w:abstractNumId="3" w15:restartNumberingAfterBreak="0">
    <w:multiLevelType w:val="hybridMultilevel"/>
    <w:lvl w:ilvl="0" w:tentative="1">
      <w:start w:val="1"/>
      <w:numFmt w:val="decimal"/>
      <w:lvlText w:val="%1."/>
      <w:lvlJc w:val="left"/>
      <w:pPr>
        <w:ind w:left="576" w:hanging="316"/>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pPr>
      <w:spacing w:after="240"/>
      <w:jc w:val="center"/>
    </w:pPr>
    <w:rPr>
      <w:rFonts w:ascii="Times New Roman" w:cs="Times New Roman" w:eastAsia="Times New Roman" w:hAnsi="Times New Roman"/>
      <w:b/>
      <w:bCs/>
      <w:sz w:val="32"/>
      <w:szCs w:val="32"/>
    </w:rPr>
  </w:style>
  <w:style w:type="paragraph" w:styleId="Heading2">
    <w:name w:val="Heading 2"/>
    <w:basedOn w:val="Normal"/>
    <w:next w:val="Normal"/>
    <w:pPr>
      <w:spacing w:after="120" w:before="200"/>
    </w:pPr>
    <w:rPr>
      <w:rFonts w:ascii="Times New Roman" w:cs="Times New Roman" w:eastAsia="Times New Roman" w:hAnsi="Times New Roman"/>
      <w:b/>
      <w:bCs/>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2026-10-29T04:22:05.753Z</dcterms:created>
  <dcterms:modified xsi:type="dcterms:W3CDTF">2026-10-29T04:22:05.754Z</dcterms:modified>
</cp:coreProperties>
</file>

<file path=docProps/custom.xml><?xml version="1.0" encoding="utf-8"?>
<Properties xmlns="http://schemas.openxmlformats.org/officeDocument/2006/custom-properties" xmlns:vt="http://schemas.openxmlformats.org/officeDocument/2006/docPropsVTypes"/>
</file>