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40"/>
        <w:jc w:val="center"/>
      </w:pPr>
      <w:r>
        <w:rPr>
          <w:rFonts w:ascii="Times New Roman" w:cs="Times New Roman" w:eastAsia="Times New Roman" w:hAnsi="Times New Roman"/>
          <w:b/>
          <w:bCs/>
          <w:sz w:val="28"/>
          <w:szCs w:val="28"/>
        </w:rPr>
        <w:t xml:space="preserve">52. Vabo kasalligi aniqlanganda epidemiyaga qarshi tadbirlarning asosiy yo'nalishlari</w:t>
      </w:r>
    </w:p>
    <w:p>
      <w:pPr>
        <w:pStyle w:val="Heading2"/>
        <w:spacing w:after="100" w:before="200"/>
      </w:pPr>
      <w:r>
        <w:rPr>
          <w:rFonts w:ascii="Times New Roman" w:cs="Times New Roman" w:eastAsia="Times New Roman" w:hAnsi="Times New Roman"/>
          <w:b/>
          <w:bCs/>
          <w:sz w:val="28"/>
          <w:szCs w:val="28"/>
        </w:rPr>
        <w:t xml:space="preserve">Kirish</w:t>
      </w:r>
    </w:p>
    <w:p>
      <w:pPr>
        <w:spacing w:after="120" w:line="276"/>
        <w:ind w:firstLine="567"/>
        <w:jc w:val="both"/>
      </w:pPr>
      <w:r>
        <w:rPr>
          <w:rFonts w:ascii="Times New Roman" w:cs="Times New Roman" w:eastAsia="Times New Roman" w:hAnsi="Times New Roman"/>
          <w:sz w:val="28"/>
          <w:szCs w:val="28"/>
        </w:rPr>
        <w:t xml:space="preserve">Vabo — Vibrio cholerae keltirib chiqaradigan, ifloslangan suv yoki oziq-ovqat orqali yuqadigan o'tkir diareya infeksiyasi bo'lib, davolanmasa bir necha soat ichida o'limga olib kelishi mumkin [2]. O'zbekiston Sog'liqni saqlash vazirligining 2012-yildagi buyrug'ida dunyoda vabo bo'yicha epidemik vaziyat murakkablashgani, aholi migratsiyasi kuchayishi respublika hududiga vabo va boshqa o'ta xavfli infeksiyalarning kirib kelish xavfini oshirishi, shuningdek ochiq suv havzalarida vabo vibrionlarining doimiy sirkulyatsiyasi kasallikning mahalliy holat sifatida qayd etilishiga sabab bo'lishi mumkinligi ta'kidlangan [1].</w:t>
      </w:r>
    </w:p>
    <w:p>
      <w:pPr>
        <w:pStyle w:val="Heading2"/>
        <w:spacing w:after="100" w:before="200"/>
      </w:pPr>
      <w:r>
        <w:rPr>
          <w:rFonts w:ascii="Times New Roman" w:cs="Times New Roman" w:eastAsia="Times New Roman" w:hAnsi="Times New Roman"/>
          <w:b/>
          <w:bCs/>
          <w:sz w:val="28"/>
          <w:szCs w:val="28"/>
        </w:rPr>
        <w:t xml:space="preserve">Epidemiologik asoslar</w:t>
      </w:r>
    </w:p>
    <w:p>
      <w:pPr>
        <w:spacing w:after="120" w:line="276"/>
        <w:ind w:firstLine="567"/>
        <w:jc w:val="both"/>
      </w:pPr>
      <w:r>
        <w:rPr>
          <w:rFonts w:ascii="Times New Roman" w:cs="Times New Roman" w:eastAsia="Times New Roman" w:hAnsi="Times New Roman"/>
          <w:sz w:val="28"/>
          <w:szCs w:val="28"/>
        </w:rPr>
        <w:t xml:space="preserve">Qo'zg'atuvchining yuqish mexanizmi fekal-oral bo'lib, vabo ko'proq suv orqali, shuningdek oziq-ovqat orqali tarqaladi [3]. JSST ma'lumotlariga ko'ra, vabo bilan kasallanganlarning ko'pchiligida belgilar yo'q yoki yengil bo'ladi, ammo ular qo'zg'atuvchini 1–10 kun najas bilan ajratib, boshqalarga yuqtirishi mumkin; belgilar yuqtirgandan 12 soatdan 5 kungacha paydo bo'ladi [2]. Epidemik avj olishlarni faqat O1 va O139 serogruppalari keltirib chiqaradi, so'nggi avj olishlarning hammasi O1 bilan bog'liq [2]. Kasallik xavfsiz suv, sanitariya va gigiyena yetishmaydigan joylarda tarqaladi [2].</w:t>
      </w:r>
    </w:p>
    <w:p>
      <w:pPr>
        <w:pStyle w:val="Heading2"/>
        <w:spacing w:after="100" w:before="200"/>
      </w:pPr>
      <w:r>
        <w:rPr>
          <w:rFonts w:ascii="Times New Roman" w:cs="Times New Roman" w:eastAsia="Times New Roman" w:hAnsi="Times New Roman"/>
          <w:b/>
          <w:bCs/>
          <w:sz w:val="28"/>
          <w:szCs w:val="28"/>
        </w:rPr>
        <w:t xml:space="preserve">Epidemiyaga qarshi tadbirlarning asosiy yo'nalishlari</w:t>
      </w:r>
    </w:p>
    <w:p>
      <w:pPr>
        <w:spacing w:after="120" w:line="276"/>
        <w:ind w:firstLine="567"/>
        <w:jc w:val="both"/>
      </w:pPr>
      <w:r>
        <w:rPr>
          <w:rFonts w:ascii="Times New Roman" w:cs="Times New Roman" w:eastAsia="Times New Roman" w:hAnsi="Times New Roman"/>
          <w:sz w:val="28"/>
          <w:szCs w:val="28"/>
        </w:rPr>
        <w:t xml:space="preserve">Sog'liqni saqlash vazirligining 2012-yil 25-yanvardagi 25-sonli buyrug'iga ilova qilingan yo'riqnomada (matni rus tilida) epidemiyaga qarshi tadbirlar tashkiliy va texnik qismlarga bo'lingan. Asosiy yo'nalishlar quyidagilar [1]:</w:t>
      </w:r>
    </w:p>
    <w:p>
      <w:pPr>
        <w:pStyle w:val="ListParagraph"/>
        <w:numPr>
          <w:ilvl w:val="0"/>
          <w:numId w:val="2"/>
        </w:numPr>
        <w:spacing w:after="60" w:line="276"/>
        <w:jc w:val="both"/>
      </w:pPr>
      <w:r>
        <w:rPr>
          <w:rFonts w:ascii="Times New Roman" w:cs="Times New Roman" w:eastAsia="Times New Roman" w:hAnsi="Times New Roman"/>
          <w:sz w:val="28"/>
          <w:szCs w:val="28"/>
        </w:rPr>
        <w:t xml:space="preserve">Tashkiliy tadbirlar: vabo o'chog'i birinchi kasallik yoki vibrion tashuvchilik aniqlanganda hududiy favqulodda epidemiyaga qarshi komissiya (FEQK) taqdimnomasiga ko'ra Qoraqalpog'iston Respublikasi Vazirlar Kengashi, viloyat, shahar yoki tuman hokimligi qarori bilan e'lon qilinadi. Tadbirlarga umumiy rahbarlik va nazoratni tuman, shahar, viloyat va respublika FEQK amalga oshiradi; uning tibbiy shtabi davolash, profilaktika, epidemiyaga qarshi, laboratoriya va ma'muriy-xo'jalik xizmatlari orqali butun majmuani tashkil etadi.</w:t>
      </w:r>
    </w:p>
    <w:p>
      <w:pPr>
        <w:pStyle w:val="ListParagraph"/>
        <w:numPr>
          <w:ilvl w:val="0"/>
          <w:numId w:val="2"/>
        </w:numPr>
        <w:spacing w:after="60" w:line="276"/>
        <w:jc w:val="both"/>
      </w:pPr>
      <w:r>
        <w:rPr>
          <w:rFonts w:ascii="Times New Roman" w:cs="Times New Roman" w:eastAsia="Times New Roman" w:hAnsi="Times New Roman"/>
          <w:sz w:val="28"/>
          <w:szCs w:val="28"/>
        </w:rPr>
        <w:t xml:space="preserve">O'chog'ni lokalizatsiya qilish va tugatish tezkor reja asosida olib boriladi; o'choq chegaralari epidemiologik tekshiruv natijalariga, yuqish yo'llari va omillariga qarab belgilanadi.</w:t>
      </w:r>
    </w:p>
    <w:p>
      <w:pPr>
        <w:pStyle w:val="ListParagraph"/>
        <w:numPr>
          <w:ilvl w:val="0"/>
          <w:numId w:val="2"/>
        </w:numPr>
        <w:spacing w:after="60" w:line="276"/>
        <w:jc w:val="both"/>
      </w:pPr>
      <w:r>
        <w:rPr>
          <w:rFonts w:ascii="Times New Roman" w:cs="Times New Roman" w:eastAsia="Times New Roman" w:hAnsi="Times New Roman"/>
          <w:sz w:val="28"/>
          <w:szCs w:val="28"/>
        </w:rPr>
        <w:t xml:space="preserve">Bemorlarni aniqlash va gospitalizatsiya: vabo bilan kasallanganlar, vabo gumon qilinganlar va vibrion tashuvchilar vabo gospitaliga, diareya va qusish bilan kelgan barcha bemorlar esa provizor gospitalga yotqiziladi va uch marta bakteriologik tekshiriladi.</w:t>
      </w:r>
    </w:p>
    <w:p>
      <w:pPr>
        <w:pStyle w:val="ListParagraph"/>
        <w:numPr>
          <w:ilvl w:val="0"/>
          <w:numId w:val="2"/>
        </w:numPr>
        <w:spacing w:after="60" w:line="276"/>
        <w:jc w:val="both"/>
      </w:pPr>
      <w:r>
        <w:rPr>
          <w:rFonts w:ascii="Times New Roman" w:cs="Times New Roman" w:eastAsia="Times New Roman" w:hAnsi="Times New Roman"/>
          <w:sz w:val="28"/>
          <w:szCs w:val="28"/>
        </w:rPr>
        <w:t xml:space="preserve">Muloqotda bo'lganlarni aniqlash, ajratish, tibbiy kuzatuv, uch marta bakteriologik tekshirish va epidemiologik ko'rsatma bo'yicha oldini oluvchi davolash.</w:t>
      </w:r>
    </w:p>
    <w:p>
      <w:pPr>
        <w:pStyle w:val="ListParagraph"/>
        <w:numPr>
          <w:ilvl w:val="0"/>
          <w:numId w:val="2"/>
        </w:numPr>
        <w:spacing w:after="60" w:line="276"/>
        <w:jc w:val="both"/>
      </w:pPr>
      <w:r>
        <w:rPr>
          <w:rFonts w:ascii="Times New Roman" w:cs="Times New Roman" w:eastAsia="Times New Roman" w:hAnsi="Times New Roman"/>
          <w:sz w:val="28"/>
          <w:szCs w:val="28"/>
        </w:rPr>
        <w:t xml:space="preserve">Tezkor epidemiologik tahlil: kasallanishni suvdan foydalanish xususiyatlarini aniqlagan holda tahlil qilish.</w:t>
      </w:r>
    </w:p>
    <w:p>
      <w:pPr>
        <w:pStyle w:val="ListParagraph"/>
        <w:numPr>
          <w:ilvl w:val="0"/>
          <w:numId w:val="2"/>
        </w:numPr>
        <w:spacing w:after="60" w:line="276"/>
        <w:jc w:val="both"/>
      </w:pPr>
      <w:r>
        <w:rPr>
          <w:rFonts w:ascii="Times New Roman" w:cs="Times New Roman" w:eastAsia="Times New Roman" w:hAnsi="Times New Roman"/>
          <w:sz w:val="28"/>
          <w:szCs w:val="28"/>
        </w:rPr>
        <w:t xml:space="preserve">Profilaktik va yakuniy dezinfeksiya; atrof-muhit obyektlaridan bakteriologik tekshiruv nuqtalari va hajmini oshirish.</w:t>
      </w:r>
    </w:p>
    <w:p>
      <w:pPr>
        <w:pStyle w:val="ListParagraph"/>
        <w:numPr>
          <w:ilvl w:val="0"/>
          <w:numId w:val="2"/>
        </w:numPr>
        <w:spacing w:after="60" w:line="276"/>
        <w:jc w:val="both"/>
      </w:pPr>
      <w:r>
        <w:rPr>
          <w:rFonts w:ascii="Times New Roman" w:cs="Times New Roman" w:eastAsia="Times New Roman" w:hAnsi="Times New Roman"/>
          <w:sz w:val="28"/>
          <w:szCs w:val="28"/>
        </w:rPr>
        <w:t xml:space="preserve">Cheklov tadbirlari: epidemik vaziyat va sanitariya-gigiyenik sharoitga qarab ochiq suv havzalaridan foydalanishni cheklash; dam olish suv joylari, umumiy ovqatlanish, oziq-ovqat sanoati va savdosi, suv quvuri va kanalizatsiya inshootlari ustidan sanitariya nazoratini kuchaytirish.</w:t>
      </w:r>
    </w:p>
    <w:p>
      <w:pPr>
        <w:spacing w:after="120" w:line="276"/>
        <w:ind w:firstLine="567"/>
        <w:jc w:val="both"/>
      </w:pPr>
      <w:r>
        <w:rPr>
          <w:rFonts w:ascii="Times New Roman" w:cs="Times New Roman" w:eastAsia="Times New Roman" w:hAnsi="Times New Roman"/>
          <w:sz w:val="28"/>
          <w:szCs w:val="28"/>
        </w:rPr>
        <w:t xml:space="preserve">Tadbirlar hajmi ajratilgan shtammlarning virulentligiga (toksigenligiga) qarab farqlanadi: virulent (toksigen) shtammlar ajratilganda yuqoridagi to'liq majmua o'tkaziladi, kuchsiz virulent yoki avirulent (atoksigen) shtammlarda gospitalizatsiya saqlanadi, boshqa cheklovlar hajmi esa vaziyatga moslashtiriladi [1].</w:t>
      </w:r>
    </w:p>
    <w:p>
      <w:pPr>
        <w:pStyle w:val="Heading2"/>
        <w:spacing w:after="100" w:before="200"/>
      </w:pPr>
      <w:r>
        <w:rPr>
          <w:rFonts w:ascii="Times New Roman" w:cs="Times New Roman" w:eastAsia="Times New Roman" w:hAnsi="Times New Roman"/>
          <w:b/>
          <w:bCs/>
          <w:sz w:val="28"/>
          <w:szCs w:val="28"/>
        </w:rPr>
        <w:t xml:space="preserve">Rejalashtirish, xabar berish va statsionar rejimi</w:t>
      </w:r>
    </w:p>
    <w:p>
      <w:pPr>
        <w:spacing w:after="120" w:line="276"/>
        <w:ind w:firstLine="567"/>
        <w:jc w:val="both"/>
      </w:pPr>
      <w:r>
        <w:rPr>
          <w:rFonts w:ascii="Times New Roman" w:cs="Times New Roman" w:eastAsia="Times New Roman" w:hAnsi="Times New Roman"/>
          <w:sz w:val="28"/>
          <w:szCs w:val="28"/>
        </w:rPr>
        <w:t xml:space="preserve">Yo'riqnomaga ko'ra, vabo o'chog'i paydo bo'lishidan oldin Qoraqalpog'iston Respublikasi, viloyatlar, shahar va tumanlarda vabo hamda o'tkir ichak infeksiyalarining oldini olish bo'yicha kompleks rejalar ishlab chiqilib, har yili tuzatiladi; o'choq paydo bo'lgan taqdirda esa epidemik vaziyatning turli variantlarini hisobga olgan tezkor rejalar tayyorlanadi. Rejalarda kasallanish tahlili, iqlim-geografik xususiyatlar, vaboga nomaqbul mamlakatlar bilan chegaradosh hududlar, chet eldan boshlanadigan suv havzalari, transport va migratsiya aloqalari, suv ta'minoti, kanalizatsiya va sanitariya tozalash holati hisobga olinadi [1].</w:t>
      </w:r>
    </w:p>
    <w:p>
      <w:pPr>
        <w:spacing w:after="120" w:line="276"/>
        <w:ind w:firstLine="567"/>
        <w:jc w:val="both"/>
      </w:pPr>
      <w:r>
        <w:rPr>
          <w:rFonts w:ascii="Times New Roman" w:cs="Times New Roman" w:eastAsia="Times New Roman" w:hAnsi="Times New Roman"/>
          <w:sz w:val="28"/>
          <w:szCs w:val="28"/>
        </w:rPr>
        <w:t xml:space="preserve">Vabo, o'lat, sariq isitma kabi karantin infeksiyalariga gumon qilingan barcha kasallanish yoki o'lim holatlari, shuningdek markazlashgan suv ta'minoti manbalaridan O1 serogruppali vabo vibrioni ajratilganda navbatdan tashqari xabarnoma kechiktirilmasdan, mavjud har qanday usulda yuboriladi. Xabarda kasallik aniqlangan joy, bemorning ma'lumotlari, kasallanish va aniqlanish sanasi, dastlabki tashxis, asosiy belgilar va muloqotda bo'lganlar soni ko'rsatiladi; yo'riqnoma bu tartibni 2009-yil 11-sentyabrdagi 280-sonli buyruqqa havola qiladi (buyruq mazmuni alohida tekshirilmagan). Vabo va provizor statsionarlari hamda izolyator tuzilishi va rejimi patogen biologik agentlar bilan ishlashdagi biologik xavfsizlik qoidalariga mos bo'lishi shart [1].</w:t>
      </w:r>
    </w:p>
    <w:p>
      <w:pPr>
        <w:pStyle w:val="Heading2"/>
        <w:spacing w:after="100" w:before="200"/>
      </w:pPr>
      <w:r>
        <w:rPr>
          <w:rFonts w:ascii="Times New Roman" w:cs="Times New Roman" w:eastAsia="Times New Roman" w:hAnsi="Times New Roman"/>
          <w:b/>
          <w:bCs/>
          <w:sz w:val="28"/>
          <w:szCs w:val="28"/>
        </w:rPr>
        <w:t xml:space="preserve">Laboratoriya tashxisi</w:t>
      </w:r>
    </w:p>
    <w:p>
      <w:pPr>
        <w:spacing w:after="120" w:line="276"/>
        <w:ind w:firstLine="567"/>
        <w:jc w:val="both"/>
      </w:pPr>
      <w:r>
        <w:rPr>
          <w:rFonts w:ascii="Times New Roman" w:cs="Times New Roman" w:eastAsia="Times New Roman" w:hAnsi="Times New Roman"/>
          <w:sz w:val="28"/>
          <w:szCs w:val="28"/>
        </w:rPr>
        <w:t xml:space="preserve">Shahar va tuman bakteriologiya laboratoriyalarida o'tkir ichak kasalligi bilan og'rigan bemorlar va atrof-muhit obyektlaridan olingan namunalar vaboga tekshiriladi. Madaniyat tozaligi Gram usulida, harakatchanligi va O1 zardobi bilan slayd-agglutinatsiya orqali baholanadi. Natija musbat bo'lsa yoki Vibrio turiga gumon qilinsa, hududiy DSENMga darhol xabar beriladi va madaniyat maxsus laboratoriyaga yuboriladi [4]. JSST ham tezkor diagnostik testlar erta aniqlash uchun foydali, ammo tasdiq madaniyat, seroagglutinatsiya yoki PSR bilan amalga oshirilishini ta'kidlaydi [2].</w:t>
      </w:r>
    </w:p>
    <w:p>
      <w:pPr>
        <w:pStyle w:val="Heading2"/>
        <w:spacing w:after="100" w:before="200"/>
      </w:pPr>
      <w:r>
        <w:rPr>
          <w:rFonts w:ascii="Times New Roman" w:cs="Times New Roman" w:eastAsia="Times New Roman" w:hAnsi="Times New Roman"/>
          <w:b/>
          <w:bCs/>
          <w:sz w:val="28"/>
          <w:szCs w:val="28"/>
        </w:rPr>
        <w:t xml:space="preserve">Dezinfeksiya va davolash</w:t>
      </w:r>
    </w:p>
    <w:p>
      <w:pPr>
        <w:spacing w:after="120" w:line="276"/>
        <w:ind w:firstLine="567"/>
        <w:jc w:val="both"/>
      </w:pPr>
      <w:r>
        <w:rPr>
          <w:rFonts w:ascii="Times New Roman" w:cs="Times New Roman" w:eastAsia="Times New Roman" w:hAnsi="Times New Roman"/>
          <w:sz w:val="28"/>
          <w:szCs w:val="28"/>
        </w:rPr>
        <w:t xml:space="preserve">Vabo o'choqlarida o'choqli (yakuniy) dezinfeksiya majburiy hisoblanadi; u bemor shifoxonaga yotqizilgandan yoki o'lganidan keyin, 24 soat ichida va kamida 95 foiz qamrov bilan o'tkazilishi kerak [5]. Davolashning asosi regidratatsiya: yo'riqnomada uni reanimatsion tadbir sifatida ko'rish va polionli eritmalar (trisol, kvartasol, atsesol, JSST eritmasi) qo'llash bayon etilgan [1]. JSST yengil va o'rtacha holatlarda og'iz orqali regidratatsiya eritmasini, og'ir holatlarda venaga suyuqlik, eritma va antibiotiklarni tavsiya qiladi [2].</w:t>
      </w:r>
    </w:p>
    <w:p>
      <w:pPr>
        <w:pStyle w:val="Heading2"/>
        <w:spacing w:after="100" w:before="200"/>
      </w:pPr>
      <w:r>
        <w:rPr>
          <w:rFonts w:ascii="Times New Roman" w:cs="Times New Roman" w:eastAsia="Times New Roman" w:hAnsi="Times New Roman"/>
          <w:b/>
          <w:bCs/>
          <w:sz w:val="28"/>
          <w:szCs w:val="28"/>
        </w:rPr>
        <w:t xml:space="preserve">O'choq tugatilgandan keyingi tadbirlar</w:t>
      </w:r>
    </w:p>
    <w:p>
      <w:pPr>
        <w:spacing w:after="120" w:line="276"/>
        <w:ind w:firstLine="567"/>
        <w:jc w:val="both"/>
      </w:pPr>
      <w:r>
        <w:rPr>
          <w:rFonts w:ascii="Times New Roman" w:cs="Times New Roman" w:eastAsia="Times New Roman" w:hAnsi="Times New Roman"/>
          <w:sz w:val="28"/>
          <w:szCs w:val="28"/>
        </w:rPr>
        <w:t xml:space="preserve">Vabo yoki vibrion tashuvchilikni o'tkazganlar chiqarilgach darhol ishga (o'qishga) kiritiladi, kasbidan qat'i nazar hisobga olinadi, ularga 30a shakldagi karta to'ldirilib, 3 oy dispanser kuzatuvi belgilanadi. Birinchi oyda najas 10 kunda bir marta, keyin 30 kunda bir marta bakteriologik tekshiriladi; vibrion tashuvchilik aniqlansa, bemor vabo statsionariga yotqiziladi. Kuzatuvdan chiqarish to'liq sog'ayish va vibrionlar ajralmaganida komissiya (bosh shifokor, infeksionist, epidemiolog) qarori bilan amalga oshiriladi [1].</w:t>
      </w:r>
    </w:p>
    <w:p>
      <w:pPr>
        <w:pStyle w:val="Heading2"/>
        <w:spacing w:after="100" w:before="200"/>
      </w:pPr>
      <w:r>
        <w:rPr>
          <w:rFonts w:ascii="Times New Roman" w:cs="Times New Roman" w:eastAsia="Times New Roman" w:hAnsi="Times New Roman"/>
          <w:b/>
          <w:bCs/>
          <w:sz w:val="28"/>
          <w:szCs w:val="28"/>
        </w:rPr>
        <w:t xml:space="preserve">Xulosa</w:t>
      </w:r>
    </w:p>
    <w:p>
      <w:pPr>
        <w:spacing w:after="120" w:line="276"/>
        <w:ind w:firstLine="567"/>
        <w:jc w:val="both"/>
      </w:pPr>
      <w:r>
        <w:rPr>
          <w:rFonts w:ascii="Times New Roman" w:cs="Times New Roman" w:eastAsia="Times New Roman" w:hAnsi="Times New Roman"/>
          <w:sz w:val="28"/>
          <w:szCs w:val="28"/>
        </w:rPr>
        <w:t xml:space="preserve">Vabo o'chog'ida asosiy yo'nalishlar: o'choqni rasman e'lon qilish va rahbarlik tizimini ishga solish, bemor va tashuvchilarni aniqlash hamda yotqizish, muloqotda bo'lganlarni kuzatish, dezinfeksiya, suvdan foydalanishni cheklash, laboratoriya tasdig'i va sog'ayganlarning dispanser kuzatuvi. Bu tadbirlarning samarasi suv ta'minoti va sanitariya nazorati, o'z vaqtida xabar berish hamda tibbiy yordamning tezkorligiga bog'liq [1, 2]. Shu sababli vrach-epidemiolog o'choq e'lon qilinishidan oldin ham tezkor reja, dori va dezinfeksiya vositalari zaxirasi hamda yotoq o'rinlari tayyorligini nazorat qilib borishi lozim.</w:t>
      </w:r>
    </w:p>
    <w:p>
      <w:pPr>
        <w:pStyle w:val="Heading2"/>
        <w:spacing w:after="100" w:before="280"/>
      </w:pPr>
      <w:r>
        <w:rPr>
          <w:rFonts w:ascii="Times New Roman" w:cs="Times New Roman" w:eastAsia="Times New Roman" w:hAnsi="Times New Roman"/>
          <w:b/>
          <w:bCs/>
          <w:sz w:val="28"/>
          <w:szCs w:val="28"/>
        </w:rPr>
        <w:t xml:space="preserve">Foydalanilgan adabiyotlar</w:t>
      </w:r>
    </w:p>
    <w:p>
      <w:pPr>
        <w:pStyle w:val="ListParagraph"/>
        <w:numPr>
          <w:ilvl w:val="0"/>
          <w:numId w:val="3"/>
        </w:numPr>
        <w:spacing w:after="80" w:line="260"/>
      </w:pPr>
      <w:r>
        <w:rPr>
          <w:rFonts w:ascii="Times New Roman" w:cs="Times New Roman" w:eastAsia="Times New Roman" w:hAnsi="Times New Roman"/>
          <w:sz w:val="28"/>
          <w:szCs w:val="28"/>
        </w:rPr>
        <w:t xml:space="preserve">O'zbekiston Respublikasi Sog'liqni saqlash vazirligining buyrug'i "O'zbekiston Respublikasida vabo kasalligi ustidan epidemiologik nazoratni yanada takomillashtirish to'g'risida", 25.01.2012, № 25, 1-ilova (yo'riqnoma), 2–3-bo'limlar. Manba: xayrullokomilov.uz/kutubxona, material № 395 (nusxada sana "25.01" va "05.01" ko'rinishida ikki xil yozilgan; ilova matni rus tilida).</w:t>
      </w:r>
    </w:p>
    <w:p>
      <w:pPr>
        <w:pStyle w:val="ListParagraph"/>
        <w:numPr>
          <w:ilvl w:val="0"/>
          <w:numId w:val="3"/>
        </w:numPr>
        <w:spacing w:after="80" w:line="260"/>
      </w:pPr>
      <w:r>
        <w:rPr>
          <w:rFonts w:ascii="Times New Roman" w:cs="Times New Roman" w:eastAsia="Times New Roman" w:hAnsi="Times New Roman"/>
          <w:sz w:val="28"/>
          <w:szCs w:val="28"/>
        </w:rPr>
        <w:t xml:space="preserve">World Health Organization. Cholera (fact sheet). URL: https://www.who.int/news-room/fact-sheets/detail/cholera (kirilgan sana: 30.10.2026).</w:t>
      </w:r>
    </w:p>
    <w:p>
      <w:pPr>
        <w:pStyle w:val="ListParagraph"/>
        <w:numPr>
          <w:ilvl w:val="0"/>
          <w:numId w:val="3"/>
        </w:numPr>
        <w:spacing w:after="80" w:line="260"/>
      </w:pPr>
      <w:r>
        <w:rPr>
          <w:rFonts w:ascii="Times New Roman" w:cs="Times New Roman" w:eastAsia="Times New Roman" w:hAnsi="Times New Roman"/>
          <w:sz w:val="28"/>
          <w:szCs w:val="28"/>
        </w:rPr>
        <w:t xml:space="preserve">Mirtazayev O.M., Zueva L.P., Matnazarova G.S. Epidemiologiya (darslik). Toshkent, 2016. Vabo bo'limi. Manba: xayrullokomilov.uz/kutubxona, material № 2356 (matn kirill yozuvida).</w:t>
      </w:r>
    </w:p>
    <w:p>
      <w:pPr>
        <w:pStyle w:val="ListParagraph"/>
        <w:numPr>
          <w:ilvl w:val="0"/>
          <w:numId w:val="3"/>
        </w:numPr>
        <w:spacing w:after="80" w:line="260"/>
      </w:pPr>
      <w:r>
        <w:rPr>
          <w:rFonts w:ascii="Times New Roman" w:cs="Times New Roman" w:eastAsia="Times New Roman" w:hAnsi="Times New Roman"/>
          <w:sz w:val="28"/>
          <w:szCs w:val="28"/>
        </w:rPr>
        <w:t xml:space="preserve">O'zbekiston Respublikasi Sog'liqni saqlash vazirligi buyrug'iga 10-ilova: Vabo kasalligining laboratoriya tashxisi bo'yicha uslubiy ko'rsatma (2015; hujjat sanasi va raqami nusxada to'ldirilmagan — tasdiqlanmagan). Manba: xayrullokomilov.uz/kutubxona, material № 1896.</w:t>
      </w:r>
    </w:p>
    <w:p>
      <w:pPr>
        <w:pStyle w:val="ListParagraph"/>
        <w:numPr>
          <w:ilvl w:val="0"/>
          <w:numId w:val="3"/>
        </w:numPr>
        <w:spacing w:after="80" w:line="260"/>
      </w:pPr>
      <w:r>
        <w:rPr>
          <w:rFonts w:ascii="Times New Roman" w:cs="Times New Roman" w:eastAsia="Times New Roman" w:hAnsi="Times New Roman"/>
          <w:sz w:val="28"/>
          <w:szCs w:val="28"/>
        </w:rPr>
        <w:t xml:space="preserve">SanQvaN № 0090-25 (SEO va JS qo'mitasi qarori; Adliya vazirligida 03.06.2025-yilda 350-raqam bilan ro'yxatga olingan), 55, 56, 65-bandlar. URL: https://lex.uz/en/docs/-7556121. Manba: xayrullokomilov.uz/kutubxona, material № 660.</w:t>
      </w:r>
    </w:p>
    <w:sectPr>
      <w:pgSz w:w="11906" w:h="16838" w:orient="portrait"/>
      <w:pgMar w:top="1134" w:right="850" w:bottom="1134" w:left="1701"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decimal"/>
      <w:lvlText w:val="[%1]"/>
      <w:lvlJc w:val="left"/>
      <w:pPr>
        <w:ind w:left="720" w:hanging="720"/>
      </w:pPr>
      <w:rPr>
        <w:rFonts w:ascii="Times New Roman" w:cs="Times New Roman" w:eastAsia="Times New Roman" w:hAnsi="Times New Roman"/>
        <w:sz w:val="28"/>
        <w:szCs w:val="28"/>
      </w:rPr>
    </w:lvl>
  </w:abstractNum>
  <w:abstractNum w:abstractNumId="3" w15:restartNumberingAfterBreak="0">
    <w:multiLevelType w:val="hybridMultilevel"/>
    <w:lvl w:ilvl="0" w:tentative="1">
      <w:start w:val="1"/>
      <w:numFmt w:val="decimal"/>
      <w:lvlText w:val="%1)"/>
      <w:lvlJc w:val="left"/>
      <w:pPr>
        <w:ind w:left="851" w:hanging="425"/>
      </w:pPr>
      <w:rPr>
        <w:rFonts w:ascii="Times New Roman" w:cs="Times New Roman" w:eastAsia="Times New Roman" w:hAnsi="Times New Roman"/>
        <w:sz w:val="28"/>
        <w:szCs w:val="28"/>
      </w:r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8"/>
        <w:szCs w:val="28"/>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80"/>
    </w:pPr>
  </w:style>
  <w:style w:type="paragraph" w:styleId="TOC3">
    <w:name w:val="toc 3"/>
    <w:basedOn w:val="Normal"/>
    <w:next w:val="Normal"/>
    <w:uiPriority w:val="39"/>
    <w:semiHidden/>
    <w:unhideWhenUsed/>
    <w:pPr>
      <w:spacing w:after="100"/>
      <w:ind w:left="560"/>
    </w:pPr>
  </w:style>
  <w:style w:type="paragraph" w:styleId="TOC4">
    <w:name w:val="toc 4"/>
    <w:basedOn w:val="Normal"/>
    <w:next w:val="Normal"/>
    <w:uiPriority w:val="39"/>
    <w:semiHidden/>
    <w:unhideWhenUsed/>
    <w:pPr>
      <w:spacing w:after="100"/>
      <w:ind w:left="840"/>
    </w:pPr>
  </w:style>
  <w:style w:type="paragraph" w:styleId="TOC5">
    <w:name w:val="toc 5"/>
    <w:basedOn w:val="Normal"/>
    <w:next w:val="Normal"/>
    <w:uiPriority w:val="39"/>
    <w:semiHidden/>
    <w:unhideWhenUsed/>
    <w:pPr>
      <w:spacing w:after="100"/>
      <w:ind w:left="1120"/>
    </w:pPr>
  </w:style>
  <w:style w:type="paragraph" w:styleId="TOC6">
    <w:name w:val="toc 6"/>
    <w:basedOn w:val="Normal"/>
    <w:next w:val="Normal"/>
    <w:uiPriority w:val="39"/>
    <w:semiHidden/>
    <w:unhideWhenUsed/>
    <w:pPr>
      <w:spacing w:after="100"/>
      <w:ind w:left="1400"/>
    </w:pPr>
  </w:style>
  <w:style w:type="paragraph" w:styleId="TOC7">
    <w:name w:val="toc 7"/>
    <w:basedOn w:val="Normal"/>
    <w:next w:val="Normal"/>
    <w:uiPriority w:val="39"/>
    <w:semiHidden/>
    <w:unhideWhenUsed/>
    <w:pPr>
      <w:spacing w:after="100"/>
      <w:ind w:left="1680"/>
    </w:pPr>
  </w:style>
  <w:style w:type="paragraph" w:styleId="TOC8">
    <w:name w:val="toc 8"/>
    <w:basedOn w:val="Normal"/>
    <w:next w:val="Normal"/>
    <w:uiPriority w:val="39"/>
    <w:semiHidden/>
    <w:unhideWhenUsed/>
    <w:pPr>
      <w:spacing w:after="100"/>
      <w:ind w:left="1960"/>
    </w:pPr>
  </w:style>
  <w:style w:type="paragraph" w:styleId="TOC9">
    <w:name w:val="toc 9"/>
    <w:basedOn w:val="Normal"/>
    <w:next w:val="Normal"/>
    <w:uiPriority w:val="39"/>
    <w:semiHidden/>
    <w:unhideWhenUsed/>
    <w:pPr>
      <w:spacing w:after="100"/>
      <w:ind w:left="224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 w:type="paragraph" w:styleId="Heading1">
    <w:name w:val="Heading 1"/>
    <w:basedOn w:val="Normal"/>
    <w:next w:val="Normal"/>
    <w:qFormat/>
    <w:pPr>
      <w:spacing w:after="240" w:before="0"/>
      <w:outlineLvl w:val="0"/>
    </w:pPr>
    <w:rPr>
      <w:rFonts w:ascii="Times New Roman" w:cs="Times New Roman" w:eastAsia="Times New Roman" w:hAnsi="Times New Roman"/>
      <w:b/>
      <w:bCs/>
      <w:color w:val="000000"/>
      <w:sz w:val="30"/>
      <w:szCs w:val="30"/>
    </w:rPr>
  </w:style>
  <w:style w:type="paragraph" w:styleId="Heading2">
    <w:name w:val="Heading 2"/>
    <w:basedOn w:val="Normal"/>
    <w:next w:val="Normal"/>
    <w:qFormat/>
    <w:pPr>
      <w:spacing w:after="100" w:before="200"/>
      <w:outlineLvl w:val="1"/>
    </w:pPr>
    <w:rPr>
      <w:rFonts w:ascii="Times New Roman" w:cs="Times New Roman" w:eastAsia="Times New Roman" w:hAnsi="Times New Roman"/>
      <w:b/>
      <w:bCs/>
      <w:color w:val="000000"/>
      <w:sz w:val="28"/>
      <w:szCs w:val="28"/>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52. Vabo kasalligi aniqlanganda epidemiyaga qarshi tadbirlarning asosiy yo'nalishlari</dc:title>
  <dc:creator>Epidemiologiya</dc:creator>
  <cp:lastModifiedBy>Un-named</cp:lastModifiedBy>
  <cp:revision>1</cp:revision>
  <dcterms:created xsi:type="dcterms:W3CDTF">2026-10-30T01:29:11.935Z</dcterms:created>
  <dcterms:modified xsi:type="dcterms:W3CDTF">2026-10-30T01:29:11.935Z</dcterms:modified>
</cp:coreProperties>
</file>

<file path=docProps/custom.xml><?xml version="1.0" encoding="utf-8"?>
<Properties xmlns="http://schemas.openxmlformats.org/officeDocument/2006/custom-properties" xmlns:vt="http://schemas.openxmlformats.org/officeDocument/2006/docPropsVTypes"/>
</file>