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014. Epidemiyaga qarshi chora-tadbirlar, ularning yo'nalishi, ushbu tadbirlarni tashkil etish</w:t>
      </w:r>
    </w:p>
    <w:p>
      <w:pPr>
        <w:spacing w:after="120" w:line="276"/>
        <w:ind w:firstLine="567"/>
        <w:jc w:val="both"/>
      </w:pPr>
      <w:r>
        <w:rPr>
          <w:rFonts w:ascii="Times New Roman" w:cs="Times New Roman" w:eastAsia="Times New Roman" w:hAnsi="Times New Roman"/>
          <w:sz w:val="28"/>
          <w:szCs w:val="28"/>
        </w:rP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100" w:before="200"/>
      </w:pPr>
      <w:r>
        <w:rPr>
          <w:rFonts w:ascii="Times New Roman" w:cs="Times New Roman" w:eastAsia="Times New Roman" w:hAnsi="Times New Roman"/>
          <w:b/>
          <w:bCs/>
          <w:sz w:val="28"/>
          <w:szCs w:val="28"/>
        </w:rPr>
        <w:t xml:space="preserve">Tadbirlarning uch asosiy yo'nalishi</w:t>
      </w:r>
    </w:p>
    <w:p>
      <w:pPr>
        <w:spacing w:after="120" w:line="276"/>
        <w:ind w:firstLine="567"/>
        <w:jc w:val="both"/>
      </w:pPr>
      <w:r>
        <w:rPr>
          <w:rFonts w:ascii="Times New Roman" w:cs="Times New Roman" w:eastAsia="Times New Roman" w:hAnsi="Times New Roman"/>
          <w:sz w:val="28"/>
          <w:szCs w:val="28"/>
        </w:rP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100" w:before="200"/>
      </w:pPr>
      <w:r>
        <w:rPr>
          <w:rFonts w:ascii="Times New Roman" w:cs="Times New Roman" w:eastAsia="Times New Roman" w:hAnsi="Times New Roman"/>
          <w:b/>
          <w:bCs/>
          <w:sz w:val="28"/>
          <w:szCs w:val="28"/>
        </w:rPr>
        <w:t xml:space="preserve">Yetakchi yo'nalishni tanlash</w:t>
      </w:r>
    </w:p>
    <w:p>
      <w:pPr>
        <w:spacing w:after="120" w:line="276"/>
        <w:ind w:firstLine="567"/>
        <w:jc w:val="both"/>
      </w:pPr>
      <w:r>
        <w:rPr>
          <w:rFonts w:ascii="Times New Roman" w:cs="Times New Roman" w:eastAsia="Times New Roman" w:hAnsi="Times New Roman"/>
          <w:sz w:val="28"/>
          <w:szCs w:val="28"/>
        </w:rP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100" w:before="200"/>
      </w:pPr>
      <w:r>
        <w:rPr>
          <w:rFonts w:ascii="Times New Roman" w:cs="Times New Roman" w:eastAsia="Times New Roman" w:hAnsi="Times New Roman"/>
          <w:b/>
          <w:bCs/>
          <w:sz w:val="28"/>
          <w:szCs w:val="28"/>
        </w:rPr>
        <w:t xml:space="preserve">Tadbirlarni tashkil etish darajalari</w:t>
      </w:r>
    </w:p>
    <w:p>
      <w:pPr>
        <w:spacing w:after="120" w:line="276"/>
        <w:ind w:firstLine="567"/>
        <w:jc w:val="both"/>
      </w:pPr>
      <w:r>
        <w:rPr>
          <w:rFonts w:ascii="Times New Roman" w:cs="Times New Roman" w:eastAsia="Times New Roman" w:hAnsi="Times New Roman"/>
          <w:sz w:val="28"/>
          <w:szCs w:val="28"/>
        </w:rP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100" w:before="200"/>
      </w:pPr>
      <w:r>
        <w:rPr>
          <w:rFonts w:ascii="Times New Roman" w:cs="Times New Roman" w:eastAsia="Times New Roman" w:hAnsi="Times New Roman"/>
          <w:b/>
          <w:bCs/>
          <w:sz w:val="28"/>
          <w:szCs w:val="28"/>
        </w:rPr>
        <w:t xml:space="preserve">Rejali va o'choqdagi tadbirlar</w:t>
      </w:r>
    </w:p>
    <w:p>
      <w:pPr>
        <w:spacing w:after="120" w:line="276"/>
        <w:ind w:firstLine="567"/>
        <w:jc w:val="both"/>
      </w:pPr>
      <w:r>
        <w:rPr>
          <w:rFonts w:ascii="Times New Roman" w:cs="Times New Roman" w:eastAsia="Times New Roman" w:hAnsi="Times New Roman"/>
          <w:sz w:val="28"/>
          <w:szCs w:val="28"/>
        </w:rP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100" w:before="200"/>
      </w:pPr>
      <w:r>
        <w:rPr>
          <w:rFonts w:ascii="Times New Roman" w:cs="Times New Roman" w:eastAsia="Times New Roman" w:hAnsi="Times New Roman"/>
          <w:b/>
          <w:bCs/>
          <w:sz w:val="28"/>
          <w:szCs w:val="28"/>
        </w:rPr>
        <w:t xml:space="preserve">Tadbirlarni rejalashtirish</w:t>
      </w:r>
    </w:p>
    <w:p>
      <w:pPr>
        <w:spacing w:after="120" w:line="276"/>
        <w:ind w:firstLine="567"/>
        <w:jc w:val="both"/>
      </w:pPr>
      <w:r>
        <w:rPr>
          <w:rFonts w:ascii="Times New Roman" w:cs="Times New Roman" w:eastAsia="Times New Roman" w:hAnsi="Times New Roman"/>
          <w:sz w:val="28"/>
          <w:szCs w:val="28"/>
        </w:rP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100" w:before="200"/>
      </w:pPr>
      <w:r>
        <w:rPr>
          <w:rFonts w:ascii="Times New Roman" w:cs="Times New Roman" w:eastAsia="Times New Roman" w:hAnsi="Times New Roman"/>
          <w:b/>
          <w:bCs/>
          <w:sz w:val="28"/>
          <w:szCs w:val="28"/>
        </w:rPr>
        <w:t xml:space="preserve">Rejalashtirish va ijroni tashkil etish</w:t>
      </w:r>
    </w:p>
    <w:p>
      <w:pPr>
        <w:spacing w:after="120" w:line="276"/>
        <w:ind w:firstLine="567"/>
        <w:jc w:val="both"/>
      </w:pPr>
      <w:r>
        <w:rPr>
          <w:rFonts w:ascii="Times New Roman" w:cs="Times New Roman" w:eastAsia="Times New Roman" w:hAnsi="Times New Roman"/>
          <w:sz w:val="28"/>
          <w:szCs w:val="28"/>
        </w:rPr>
        <w:t xml:space="preserve">Darslikka ko'ra, profilaktika va epidemiyaga qarshi ish albatta rejalashtirilishi kerak, chunki oldindan o'ylangan faoliyat barcha zarur umumiy va xususiy tadbirlarni ko'zda tutishi mumkin. Muammoni turli xizmatlar va mahalliy hokimiyat organlari ishtirokida hal etish zarur bo'lsa, epidemiologlar muammoli-tematik yoki muammoli-maqsadli rejalarning tashabbuskori bo'ladi; rejalarda bajarish muddatlari, mas'ul ijrochilar, ma'muriy va moddiy ta'minot ko'rsatiladi [1]. Chora-tadbirlar odatda epidemiologik nazorat ma'lumotlari, ya'ni tashxis faoliyati natijasida aniq sabab-oqibat aloqalari aniqlangandan keyin amalga oshiriladi [1]. Qonunda yuqumli kasallik o'choqlarida o'tkaziladigan choralar gumon qilinganlarni aniqlash, ajratish, gospitalizatsiya, muloqotda bo'lganlarni laboratoriya tekshiruvi va tibbiy kuzatuv hamda yuqish yo'llari va omillarini aniqlash sifatida belgilangan [3]. Ichak infeksiyalari bo'yicha yo'riqnomada epidemiologik tekshiruvning maqsadi manbani, omillarni va yuqish sharoitlarini erta aniqlash hamda tarqalish chegarasini belgilash deb ko'rsatilgan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 Xalqaro yondashuvda nazorat choralari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014. Epidemiyaga qarshi chora-tadbirlar, ularning yo'nalishi, ushbu tadbirlarni tashkil etish</dc:title>
  <dc:creator>Epidemiologiya</dc:creator>
  <cp:lastModifiedBy>Un-named</cp:lastModifiedBy>
  <cp:revision>1</cp:revision>
  <dcterms:created xsi:type="dcterms:W3CDTF">2026-10-30T13:21:18.206Z</dcterms:created>
  <dcterms:modified xsi:type="dcterms:W3CDTF">2026-10-30T13:21:18.206Z</dcterms:modified>
</cp:coreProperties>
</file>

<file path=docProps/custom.xml><?xml version="1.0" encoding="utf-8"?>
<Properties xmlns="http://schemas.openxmlformats.org/officeDocument/2006/custom-properties" xmlns:vt="http://schemas.openxmlformats.org/officeDocument/2006/docPropsVTypes"/>
</file>