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40"/>
        <w:jc w:val="center"/>
      </w:pPr>
      <w:r>
        <w:rPr>
          <w:rFonts w:ascii="Times New Roman" w:cs="Times New Roman" w:eastAsia="Times New Roman" w:hAnsi="Times New Roman"/>
          <w:b/>
          <w:bCs/>
          <w:sz w:val="28"/>
          <w:szCs w:val="28"/>
        </w:rPr>
        <w:t xml:space="preserve">085. Virusli gepatit B kasalligida epidemiyaga qarshi tadbirlar va maxsus profilaktika choralari</w:t>
      </w:r>
    </w:p>
    <w:p>
      <w:pPr>
        <w:pStyle w:val="Heading2"/>
        <w:spacing w:after="100" w:before="200"/>
      </w:pPr>
      <w:r>
        <w:rPr>
          <w:rFonts w:ascii="Times New Roman" w:cs="Times New Roman" w:eastAsia="Times New Roman" w:hAnsi="Times New Roman"/>
          <w:b/>
          <w:bCs/>
          <w:sz w:val="28"/>
          <w:szCs w:val="28"/>
        </w:rPr>
        <w:t xml:space="preserve">Kirish</w:t>
      </w:r>
    </w:p>
    <w:p>
      <w:pPr>
        <w:spacing w:after="120" w:line="276"/>
        <w:ind w:firstLine="567"/>
        <w:jc w:val="both"/>
      </w:pPr>
      <w:r>
        <w:rPr>
          <w:rFonts w:ascii="Times New Roman" w:cs="Times New Roman" w:eastAsia="Times New Roman" w:hAnsi="Times New Roman"/>
          <w:sz w:val="28"/>
          <w:szCs w:val="28"/>
        </w:rPr>
        <w:t xml:space="preserve">Virusli gepatit B (VGB) bo'yicha epidemiyaga qarshi tadbirlar o'choqda yuqish yo'llarini uzish va kontaktdagilarni himoya qilishga, maxsus profilaktika esa emlash va onadan bolaga yuqishning oldini olishga qaratiladi. VGB vaksina bilan oldini olinadigan kasallik: JSST ma'lumotiga ko'ra vaksina deyarli 100% himoya beradi [1]. Milliy tartib Sog'liqni saqlash vazirining 2018 yil 542-son buyrug'iga 1-ilovada, aholini skrining va davolash tartibi esa 2023 yil 95-son buyrug'ida belgilangan [2][3]. Quyida o'choqdagi tadbirlar, emlash va onalar bilan ishlash bayon etiladi.</w:t>
      </w:r>
    </w:p>
    <w:p>
      <w:pPr>
        <w:pStyle w:val="Heading2"/>
        <w:spacing w:after="100" w:before="200"/>
      </w:pPr>
      <w:r>
        <w:rPr>
          <w:rFonts w:ascii="Times New Roman" w:cs="Times New Roman" w:eastAsia="Times New Roman" w:hAnsi="Times New Roman"/>
          <w:b/>
          <w:bCs/>
          <w:sz w:val="28"/>
          <w:szCs w:val="28"/>
        </w:rPr>
        <w:t xml:space="preserve">O'tkir VGB o'choqlarida tadbirlar</w:t>
      </w:r>
    </w:p>
    <w:p>
      <w:pPr>
        <w:pStyle w:val="ListParagraph"/>
        <w:numPr>
          <w:ilvl w:val="0"/>
          <w:numId w:val="2"/>
        </w:numPr>
        <w:spacing w:after="60" w:line="276"/>
        <w:jc w:val="both"/>
      </w:pPr>
      <w:r>
        <w:rPr>
          <w:rFonts w:ascii="Times New Roman" w:cs="Times New Roman" w:eastAsia="Times New Roman" w:hAnsi="Times New Roman"/>
          <w:sz w:val="28"/>
          <w:szCs w:val="28"/>
        </w:rPr>
        <w:t xml:space="preserve">Bemorlarni ro'yxatga olish va yotqizish: o'tkir va birinchi marta aniqlangan surunkali shakllar davlat sanitariya-epidemiologik nazorat markazlarida majburiy ro'yxatga olinadi va yuqumli kasalliklar shifoxonalariga yotqiziladi; etiologik tasdiqlash odatda 5 kun ichida o'tkaziladi, aralash infeksiya yoki surunkali shakllarda kechroq mumkin [2].</w:t>
      </w:r>
    </w:p>
    <w:p>
      <w:pPr>
        <w:pStyle w:val="ListParagraph"/>
        <w:numPr>
          <w:ilvl w:val="0"/>
          <w:numId w:val="2"/>
        </w:numPr>
        <w:spacing w:after="60" w:line="276"/>
        <w:jc w:val="both"/>
      </w:pPr>
      <w:r>
        <w:rPr>
          <w:rFonts w:ascii="Times New Roman" w:cs="Times New Roman" w:eastAsia="Times New Roman" w:hAnsi="Times New Roman"/>
          <w:sz w:val="28"/>
          <w:szCs w:val="28"/>
        </w:rPr>
        <w:t xml:space="preserve">Kontaktdagilar: bemor (HBsAg tashuvchi) bilan yaqin aloqada bo'lib, yuqish yo'llari amalga oshishi mumkin bo'lgan shaxslar. O'tkir VGB o'choqlarida kontaktdagilar ustidan bemor yotqizilgan paytdan boshlab 6 oy tibbiy kuzatuv o'rnatiladi, shifokor ko'rigi 2 oyda bir marta o'tkaziladi; birinchi tashrifda ko'rikdan tashqari ALT faolligi va HBsAg aniqlanadi. HBsAg va ALT oshgan shaxslar chuqur klinik-laborator tekshiruvdan (jigar ultratovushi bilan) o'tkaziladi [2].</w:t>
      </w:r>
    </w:p>
    <w:p>
      <w:pPr>
        <w:pStyle w:val="ListParagraph"/>
        <w:numPr>
          <w:ilvl w:val="0"/>
          <w:numId w:val="2"/>
        </w:numPr>
        <w:spacing w:after="60" w:line="276"/>
        <w:jc w:val="both"/>
      </w:pPr>
      <w:r>
        <w:rPr>
          <w:rFonts w:ascii="Times New Roman" w:cs="Times New Roman" w:eastAsia="Times New Roman" w:hAnsi="Times New Roman"/>
          <w:sz w:val="28"/>
          <w:szCs w:val="28"/>
        </w:rPr>
        <w:t xml:space="preserve">Natijalar kontaktdagining ambulator kartasiga yoziladi; HBsAg immunoxromatografik tahlil, IFA va zarur bo'lsa PZR bilan aniqlanadi [2].</w:t>
      </w:r>
    </w:p>
    <w:p>
      <w:pPr>
        <w:pStyle w:val="ListParagraph"/>
        <w:numPr>
          <w:ilvl w:val="0"/>
          <w:numId w:val="2"/>
        </w:numPr>
        <w:spacing w:after="60" w:line="276"/>
        <w:jc w:val="both"/>
      </w:pPr>
      <w:r>
        <w:rPr>
          <w:rFonts w:ascii="Times New Roman" w:cs="Times New Roman" w:eastAsia="Times New Roman" w:hAnsi="Times New Roman"/>
          <w:sz w:val="28"/>
          <w:szCs w:val="28"/>
        </w:rPr>
        <w:t xml:space="preserve">Xavfi yuqori toifalarda VGB va VGS markerlari bo'yicha to'liq tekshiruv kamida yiliga bir marta o'tkaziladi; kerak bo'lsa VGB ga qarshi emlash tavsiya etiladi [2].</w:t>
      </w:r>
    </w:p>
    <w:p>
      <w:pPr>
        <w:pStyle w:val="ListParagraph"/>
        <w:numPr>
          <w:ilvl w:val="0"/>
          <w:numId w:val="2"/>
        </w:numPr>
        <w:spacing w:after="60" w:line="276"/>
        <w:jc w:val="both"/>
      </w:pPr>
      <w:r>
        <w:rPr>
          <w:rFonts w:ascii="Times New Roman" w:cs="Times New Roman" w:eastAsia="Times New Roman" w:hAnsi="Times New Roman"/>
          <w:sz w:val="28"/>
          <w:szCs w:val="28"/>
        </w:rPr>
        <w:t xml:space="preserve">Shaxsiy gigiena buyumlarini (tish cho'tkasi, ustara, manikyur-pedikyur asboblari) ajratish va dezinfeksiya qilish uy o'choqlarida asosiy chora hisoblanadi; umumiy foydalanish aniqlansa kontaktdagilar ro'yxati tuziladi va infeksionist shifokorga laborator tekshiruv uchun beriladi [2].</w:t>
      </w:r>
    </w:p>
    <w:p>
      <w:pPr>
        <w:pStyle w:val="Heading2"/>
        <w:spacing w:after="100" w:before="200"/>
      </w:pPr>
      <w:r>
        <w:rPr>
          <w:rFonts w:ascii="Times New Roman" w:cs="Times New Roman" w:eastAsia="Times New Roman" w:hAnsi="Times New Roman"/>
          <w:b/>
          <w:bCs/>
          <w:sz w:val="28"/>
          <w:szCs w:val="28"/>
        </w:rPr>
        <w:t xml:space="preserve">Surunkali VGB o'choqlarida tadbirlar</w:t>
      </w:r>
    </w:p>
    <w:p>
      <w:pPr>
        <w:pStyle w:val="ListParagraph"/>
        <w:numPr>
          <w:ilvl w:val="0"/>
          <w:numId w:val="3"/>
        </w:numPr>
        <w:spacing w:after="60" w:line="276"/>
        <w:jc w:val="both"/>
      </w:pPr>
      <w:r>
        <w:rPr>
          <w:rFonts w:ascii="Times New Roman" w:cs="Times New Roman" w:eastAsia="Times New Roman" w:hAnsi="Times New Roman"/>
          <w:sz w:val="28"/>
          <w:szCs w:val="28"/>
        </w:rPr>
        <w:t xml:space="preserve">Birinchi marta aniqlangan surunkali VGB tibbiy muassasa va sanitariya-epidemiologiya markazida majburiy ro'yxatga olinadi; epidemiolog tashkil etilgan jamoalardagi va uy o'choqlaridagi har bir yangi aniqlangan holatni surishtiradi [2].</w:t>
      </w:r>
    </w:p>
    <w:p>
      <w:pPr>
        <w:pStyle w:val="ListParagraph"/>
        <w:numPr>
          <w:ilvl w:val="0"/>
          <w:numId w:val="3"/>
        </w:numPr>
        <w:spacing w:after="60" w:line="276"/>
        <w:jc w:val="both"/>
      </w:pPr>
      <w:r>
        <w:rPr>
          <w:rFonts w:ascii="Times New Roman" w:cs="Times New Roman" w:eastAsia="Times New Roman" w:hAnsi="Times New Roman"/>
          <w:sz w:val="28"/>
          <w:szCs w:val="28"/>
        </w:rPr>
        <w:t xml:space="preserve">Bolalar muassasalarida kontaktdagi bolalar ustidan 6 oy davomida tibbiy kuzatuv (izolyatsiyadan keyin darhol, so'ng har oy) o'tkaziladi [2].</w:t>
      </w:r>
    </w:p>
    <w:p>
      <w:pPr>
        <w:pStyle w:val="ListParagraph"/>
        <w:numPr>
          <w:ilvl w:val="0"/>
          <w:numId w:val="3"/>
        </w:numPr>
        <w:spacing w:after="60" w:line="276"/>
        <w:jc w:val="both"/>
      </w:pPr>
      <w:r>
        <w:rPr>
          <w:rFonts w:ascii="Times New Roman" w:cs="Times New Roman" w:eastAsia="Times New Roman" w:hAnsi="Times New Roman"/>
          <w:sz w:val="28"/>
          <w:szCs w:val="28"/>
        </w:rPr>
        <w:t xml:space="preserve">Oilaviy o'choqlarda kontaktdagilar o'choq aniqlanganda va keyin kamida yiliga bir marta HBsAg, anti-HBs, anti-HCV ga tekshiriladi; himoyalovchi konsentratsiyali anti-HBs yoki anti-HCV aniqlanganlar keyin tekshirilmaydi; o'choqqa tibbiyot xodimi va epidemiolog yarim yilda bir marta boradi [2].</w:t>
      </w:r>
    </w:p>
    <w:p>
      <w:pPr>
        <w:pStyle w:val="ListParagraph"/>
        <w:numPr>
          <w:ilvl w:val="0"/>
          <w:numId w:val="3"/>
        </w:numPr>
        <w:spacing w:after="60" w:line="276"/>
        <w:jc w:val="both"/>
      </w:pPr>
      <w:r>
        <w:rPr>
          <w:rFonts w:ascii="Times New Roman" w:cs="Times New Roman" w:eastAsia="Times New Roman" w:hAnsi="Times New Roman"/>
          <w:sz w:val="28"/>
          <w:szCs w:val="28"/>
        </w:rPr>
        <w:t xml:space="preserve">Bolalar «tashuvchilar» va surunkali bemorlar mos ixtisoslashgan bolalar muassasalariga yo'naltiriladi; 14 yoshgacha HBsAg tashuvchilar ro'yxati sanitariya-epidemiologiya markazida yuritiladi, emlash holati o'rganiladi [2].</w:t>
      </w:r>
    </w:p>
    <w:p>
      <w:pPr>
        <w:pStyle w:val="ListParagraph"/>
        <w:numPr>
          <w:ilvl w:val="0"/>
          <w:numId w:val="3"/>
        </w:numPr>
        <w:spacing w:after="60" w:line="276"/>
        <w:jc w:val="both"/>
      </w:pPr>
      <w:r>
        <w:rPr>
          <w:rFonts w:ascii="Times New Roman" w:cs="Times New Roman" w:eastAsia="Times New Roman" w:hAnsi="Times New Roman"/>
          <w:sz w:val="28"/>
          <w:szCs w:val="28"/>
        </w:rPr>
        <w:t xml:space="preserve">Homilador ayol surunkali VGB bilan – yuqumli kasalliklar shifoxonasiga majburiy yotqiziladi; tug'ayotgan va HBsAg yoki anti-HCV musbat ayollar viloyat (shahar) tug'ruq majmualarining izolyatorlariga qat'iy epidemiyaga qarshi rejim bilan joylashtiriladi [2].</w:t>
      </w:r>
    </w:p>
    <w:p>
      <w:pPr>
        <w:pStyle w:val="Heading2"/>
        <w:spacing w:after="100" w:before="200"/>
      </w:pPr>
      <w:r>
        <w:rPr>
          <w:rFonts w:ascii="Times New Roman" w:cs="Times New Roman" w:eastAsia="Times New Roman" w:hAnsi="Times New Roman"/>
          <w:b/>
          <w:bCs/>
          <w:sz w:val="28"/>
          <w:szCs w:val="28"/>
        </w:rPr>
        <w:t xml:space="preserve">Maxsus profilaktika</w:t>
      </w:r>
    </w:p>
    <w:p>
      <w:pPr>
        <w:pStyle w:val="ListParagraph"/>
        <w:numPr>
          <w:ilvl w:val="0"/>
          <w:numId w:val="4"/>
        </w:numPr>
        <w:spacing w:after="60" w:line="276"/>
        <w:jc w:val="both"/>
      </w:pPr>
      <w:r>
        <w:rPr>
          <w:rFonts w:ascii="Times New Roman" w:cs="Times New Roman" w:eastAsia="Times New Roman" w:hAnsi="Times New Roman"/>
          <w:sz w:val="28"/>
          <w:szCs w:val="28"/>
        </w:rPr>
        <w:t xml:space="preserve">Faol immunizatsiya: JSST rekombinant HBsAg vaksinasi bilan uch yoki to'rt dozali immunizatsiyani barcha chaqaloqlarga, emlanmagan har qanday yoshdagi odamlarga va yuqori xavfli guruhlarga (qon mahsulotlariga muhtojlar, dializ bemorlari, a'zo oluvchilar, mahbuslar, in'ektsion giyohvandlar, oila a'zolari va jinsiy sheriklar, ko'p sherikli shaxslar, tibbiyot xodimlari, endemik hududga ketuvchi sayohatchilar) tavsiya qiladi [2]. To'liq seriyadan keyin 95% dan ko'p chaqaloq, bola va yoshlarda himoyalovchi antitelalar paydo bo'ladi, himoya 20 yil va ehtimol umr bo'yi saqlanadi [2].</w:t>
      </w:r>
    </w:p>
    <w:p>
      <w:pPr>
        <w:pStyle w:val="ListParagraph"/>
        <w:numPr>
          <w:ilvl w:val="0"/>
          <w:numId w:val="4"/>
        </w:numPr>
        <w:spacing w:after="60" w:line="276"/>
        <w:jc w:val="both"/>
      </w:pPr>
      <w:r>
        <w:rPr>
          <w:rFonts w:ascii="Times New Roman" w:cs="Times New Roman" w:eastAsia="Times New Roman" w:hAnsi="Times New Roman"/>
          <w:sz w:val="28"/>
          <w:szCs w:val="28"/>
        </w:rPr>
        <w:t xml:space="preserve">Kontaktdagilar: kasal (o'tkir yoki surunkali) yoki HBsAg tashuvchi bilan kontaktda bo'lgan, avval emlanmagan yoki emlash anamnezi noma'lum shaxslar VGB ga qarshi emlanadi [2]. Tibbiyot xodimlari va tibbiyot talabalariga alohida e'tibor beriladi [2].</w:t>
      </w:r>
    </w:p>
    <w:p>
      <w:pPr>
        <w:pStyle w:val="ListParagraph"/>
        <w:numPr>
          <w:ilvl w:val="0"/>
          <w:numId w:val="4"/>
        </w:numPr>
        <w:spacing w:after="60" w:line="276"/>
        <w:jc w:val="both"/>
      </w:pPr>
      <w:r>
        <w:rPr>
          <w:rFonts w:ascii="Times New Roman" w:cs="Times New Roman" w:eastAsia="Times New Roman" w:hAnsi="Times New Roman"/>
          <w:sz w:val="28"/>
          <w:szCs w:val="28"/>
        </w:rPr>
        <w:t xml:space="preserve">Chaqaloqlar: VGB bilan kasallangan onalardan tug'ilgan chaqaloqlar milliy kalendarga muvofiq dastlabki 3–12 soatda emlanadi [2]; JSST barcha chaqaloqlarga 24 soat ichida emlashni, qo'shimcha ravishda onaga antiviral dori berishni tavsiya etadi [1]. Zarur dozalar: tug'ilgandan keyingi doza, so'ng kamida 4 hafta oraliq bilan 2–3 doza; bu seriyadan keyin revaksinatsiya odatda talab etilmaydi [1].</w:t>
      </w:r>
    </w:p>
    <w:p>
      <w:pPr>
        <w:pStyle w:val="ListParagraph"/>
        <w:numPr>
          <w:ilvl w:val="0"/>
          <w:numId w:val="4"/>
        </w:numPr>
        <w:spacing w:after="60" w:line="276"/>
        <w:jc w:val="both"/>
      </w:pPr>
      <w:r>
        <w:rPr>
          <w:rFonts w:ascii="Times New Roman" w:cs="Times New Roman" w:eastAsia="Times New Roman" w:hAnsi="Times New Roman"/>
          <w:sz w:val="28"/>
          <w:szCs w:val="28"/>
        </w:rPr>
        <w:t xml:space="preserve">Immunoglobulin va boshqa preparatlar bo'yicha aniq ko'rsatmalar kutubxona hujjatlarida topilmadi (tasdiqlanmagan).</w:t>
      </w:r>
    </w:p>
    <w:p>
      <w:pPr>
        <w:pStyle w:val="Heading2"/>
        <w:spacing w:after="100" w:before="200"/>
      </w:pPr>
      <w:r>
        <w:rPr>
          <w:rFonts w:ascii="Times New Roman" w:cs="Times New Roman" w:eastAsia="Times New Roman" w:hAnsi="Times New Roman"/>
          <w:b/>
          <w:bCs/>
          <w:sz w:val="28"/>
          <w:szCs w:val="28"/>
        </w:rPr>
        <w:t xml:space="preserve">O'choqlarning turlari va epidemiologik baholash</w:t>
      </w:r>
    </w:p>
    <w:p>
      <w:pPr>
        <w:pStyle w:val="ListParagraph"/>
        <w:numPr>
          <w:ilvl w:val="0"/>
          <w:numId w:val="5"/>
        </w:numPr>
        <w:spacing w:after="60" w:line="276"/>
        <w:jc w:val="both"/>
      </w:pPr>
      <w:r>
        <w:rPr>
          <w:rFonts w:ascii="Times New Roman" w:cs="Times New Roman" w:eastAsia="Times New Roman" w:hAnsi="Times New Roman"/>
          <w:sz w:val="28"/>
          <w:szCs w:val="28"/>
        </w:rPr>
        <w:t xml:space="preserve">VGB o'choqlari surunkali bemorlar oilalarida, bolalar va kattalar yopiq muassasalarida, nogironlar uylarida, ichki ishlar tizimi muassasalarida shakllanadi, barqaror xarakterga ega va sog'lomlashtirish qiyin; bunday o'choqlarda o'tkir va surunkali, manifest va simptomsiz shakllar bir vaqtda bo'lishi mumkin. Oilalarda barqaror o'choqlar paydo bo'lishiga surunkali infeksiyaga genetik moyillik sabab bo'lishi ko'rsatilgan [2].</w:t>
      </w:r>
    </w:p>
    <w:p>
      <w:pPr>
        <w:pStyle w:val="ListParagraph"/>
        <w:numPr>
          <w:ilvl w:val="0"/>
          <w:numId w:val="5"/>
        </w:numPr>
        <w:spacing w:after="60" w:line="276"/>
        <w:jc w:val="both"/>
      </w:pPr>
      <w:r>
        <w:rPr>
          <w:rFonts w:ascii="Times New Roman" w:cs="Times New Roman" w:eastAsia="Times New Roman" w:hAnsi="Times New Roman"/>
          <w:sz w:val="28"/>
          <w:szCs w:val="28"/>
        </w:rPr>
        <w:t xml:space="preserve">Muvaffaqiyat mezonlari: kontaktdagilar orasida yangi VGB holati yo'qligi, 6 oylik kuzatuv davomida HBsAg va ALT bo'yicha salbiy natijalar, kontaktdagilarning emlanish qamrovi (bu mezonlar hujjatlarda alohida ko'rsatilmagan, tadbirlar mantig'idan olingan, tasdiqlanmagan) [2].</w:t>
      </w:r>
    </w:p>
    <w:p>
      <w:pPr>
        <w:pStyle w:val="ListParagraph"/>
        <w:numPr>
          <w:ilvl w:val="0"/>
          <w:numId w:val="5"/>
        </w:numPr>
        <w:spacing w:after="60" w:line="276"/>
        <w:jc w:val="both"/>
      </w:pPr>
      <w:r>
        <w:rPr>
          <w:rFonts w:ascii="Times New Roman" w:cs="Times New Roman" w:eastAsia="Times New Roman" w:hAnsi="Times New Roman"/>
          <w:sz w:val="28"/>
          <w:szCs w:val="28"/>
        </w:rPr>
        <w:t xml:space="preserve">Taqdimotda B, C, D gepatitlar parenteral guruhga kiritilgan, subklinik shakl va HBs-antigen tashuvchilik alohida ajratilgan; shu sababli o'choqda kasallik belgisi bo'lmagan shaxslar ham tekshirilishi kerak [4].</w:t>
      </w:r>
    </w:p>
    <w:p>
      <w:pPr>
        <w:pStyle w:val="ListParagraph"/>
        <w:numPr>
          <w:ilvl w:val="0"/>
          <w:numId w:val="5"/>
        </w:numPr>
        <w:spacing w:after="60" w:line="276"/>
        <w:jc w:val="both"/>
      </w:pPr>
      <w:r>
        <w:rPr>
          <w:rFonts w:ascii="Times New Roman" w:cs="Times New Roman" w:eastAsia="Times New Roman" w:hAnsi="Times New Roman"/>
          <w:sz w:val="28"/>
          <w:szCs w:val="28"/>
        </w:rPr>
        <w:t xml:space="preserve">VGB va VGS yuqish yo'llari o'xshashligi sababli o'choqda ikkala infeksiya bo'yicha tekshiruv o'tkaziladi; VGSga vaksina yo'q, shu sababli VGS bo'yicha tadbirlar kontaktdagilarni kuzatish va xavfli buyumlarni ajratishga asoslanadi; JSST VGSni bevosita ta'sir qiluvchi antivirus dorilar bilan davolash mumkinligini ta'kidlaydi [5].</w:t>
      </w:r>
    </w:p>
    <w:p>
      <w:pPr>
        <w:pStyle w:val="Heading2"/>
        <w:spacing w:after="100" w:before="200"/>
      </w:pPr>
      <w:r>
        <w:rPr>
          <w:rFonts w:ascii="Times New Roman" w:cs="Times New Roman" w:eastAsia="Times New Roman" w:hAnsi="Times New Roman"/>
          <w:b/>
          <w:bCs/>
          <w:sz w:val="28"/>
          <w:szCs w:val="28"/>
        </w:rPr>
        <w:t xml:space="preserve">Skrining va davolash (95-son buyruq)</w:t>
      </w:r>
    </w:p>
    <w:p>
      <w:pPr>
        <w:spacing w:after="120" w:line="276"/>
        <w:ind w:firstLine="567"/>
        <w:jc w:val="both"/>
      </w:pPr>
      <w:r>
        <w:rPr>
          <w:rFonts w:ascii="Times New Roman" w:cs="Times New Roman" w:eastAsia="Times New Roman" w:hAnsi="Times New Roman"/>
          <w:sz w:val="28"/>
          <w:szCs w:val="28"/>
        </w:rPr>
        <w:t xml:space="preserve">2023 yildan 18 yoshdan katta avval tekshirilmagan fuqarolar oilaviy poliklinikalarda ixtiyoriy roziligiga ko'ra elektron platformada ro'yxatga olinib, ekspress-testlar bilan skriningdan o'tkaziladi; VGB aniqlangan bemorlar haqida Sanepidqo'm tuman bo'limlariga axborot beriladi, ular gepatomarkazlarga yo'llanadi, u yerda AFP, PIVKA va HBsAg miqdoriy tekshiruvlari o'tkaziladi [3]. JSST: o'tkir VGBda maxsus davo yo'q; surunkali VGBda tenofovir yoki entekavir qo'llanadi, ko'pchilikda umr bo'yi [1].</w:t>
      </w:r>
    </w:p>
    <w:p>
      <w:pPr>
        <w:pStyle w:val="Heading2"/>
        <w:spacing w:after="100" w:before="200"/>
      </w:pPr>
      <w:r>
        <w:rPr>
          <w:rFonts w:ascii="Times New Roman" w:cs="Times New Roman" w:eastAsia="Times New Roman" w:hAnsi="Times New Roman"/>
          <w:b/>
          <w:bCs/>
          <w:sz w:val="28"/>
          <w:szCs w:val="28"/>
        </w:rPr>
        <w:t xml:space="preserve">Xulosa</w:t>
      </w:r>
    </w:p>
    <w:p>
      <w:pPr>
        <w:spacing w:after="120" w:line="276"/>
        <w:ind w:firstLine="567"/>
        <w:jc w:val="both"/>
      </w:pPr>
      <w:r>
        <w:rPr>
          <w:rFonts w:ascii="Times New Roman" w:cs="Times New Roman" w:eastAsia="Times New Roman" w:hAnsi="Times New Roman"/>
          <w:sz w:val="28"/>
          <w:szCs w:val="28"/>
        </w:rPr>
        <w:t xml:space="preserve">VGB o'choqlarida epidemiyaga qarshi tadbirlar bemorni ro'yxatga olish va yotqizish, kontaktdagilarni 6 oy kuzatish va tekshirish, uy-maishiy buyumlarni ajratish, surunkali o'choqlarni yarim yilda bir kuzatishdan iborat. Maxsus profilaktika – vaksina bilan emlash (chaqaloqlar, kontaktdagilar, xavf guruhlari), onadan bolaga yuqishni to'xtatish. Milliy yo'riqnomadagi 3–12 soatlik emlash muddati JSST tavsiyasidagi 24 soatdan qisqa; onaga antiviral profilaktika milliy yo'riqnomada keltirilmagan.</w:t>
      </w:r>
    </w:p>
    <w:p>
      <w:pPr>
        <w:pStyle w:val="Heading2"/>
        <w:spacing w:after="100" w:before="280"/>
      </w:pPr>
      <w:r>
        <w:rPr>
          <w:rFonts w:ascii="Times New Roman" w:cs="Times New Roman" w:eastAsia="Times New Roman" w:hAnsi="Times New Roman"/>
          <w:b/>
          <w:bCs/>
          <w:sz w:val="28"/>
          <w:szCs w:val="28"/>
        </w:rPr>
        <w:t xml:space="preserve">Foydalanilgan adabiyotlar</w:t>
      </w:r>
    </w:p>
    <w:p>
      <w:pPr>
        <w:pStyle w:val="ListParagraph"/>
        <w:numPr>
          <w:ilvl w:val="0"/>
          <w:numId w:val="6"/>
        </w:numPr>
        <w:spacing w:after="80" w:line="260"/>
      </w:pPr>
      <w:r>
        <w:rPr>
          <w:rFonts w:ascii="Times New Roman" w:cs="Times New Roman" w:eastAsia="Times New Roman" w:hAnsi="Times New Roman"/>
          <w:sz w:val="28"/>
          <w:szCs w:val="28"/>
        </w:rPr>
        <w:t xml:space="preserve">World Health Organization. Hepatitis B (fact sheet). URL: https://www.who.int/news-room/fact-sheets/detail/hepatitis-b (kirilgan sana: 30.10.2026).</w:t>
      </w:r>
    </w:p>
    <w:p>
      <w:pPr>
        <w:pStyle w:val="ListParagraph"/>
        <w:numPr>
          <w:ilvl w:val="0"/>
          <w:numId w:val="6"/>
        </w:numPr>
        <w:spacing w:after="80" w:line="260"/>
      </w:pPr>
      <w:r>
        <w:rPr>
          <w:rFonts w:ascii="Times New Roman" w:cs="Times New Roman" w:eastAsia="Times New Roman" w:hAnsi="Times New Roman"/>
          <w:sz w:val="28"/>
          <w:szCs w:val="28"/>
        </w:rPr>
        <w:t xml:space="preserve">O'zbekiston Respublikasi Sog'liqni saqlash vazirining 2018-yil 27-avgustdagi 542-son buyrug'iga 1-ilova: «Virusli gepatitlar epidemiologiyasi, profilaktik va epidemiyaga qarshi tadbirlarni tashkil etish» yo'riqnomasi (rus tilidagi matn). Manba: xayrullokomilov.uz/kutubxona, material № 484.</w:t>
      </w:r>
    </w:p>
    <w:p>
      <w:pPr>
        <w:pStyle w:val="ListParagraph"/>
        <w:numPr>
          <w:ilvl w:val="0"/>
          <w:numId w:val="6"/>
        </w:numPr>
        <w:spacing w:after="80" w:line="260"/>
      </w:pPr>
      <w:r>
        <w:rPr>
          <w:rFonts w:ascii="Times New Roman" w:cs="Times New Roman" w:eastAsia="Times New Roman" w:hAnsi="Times New Roman"/>
          <w:sz w:val="28"/>
          <w:szCs w:val="28"/>
        </w:rPr>
        <w:t xml:space="preserve">O'zbekiston Respublikasi Sog'liqni saqlash vazirining 2023-yil 1-maydagi 95-son buyrug'i: aholi orasida virusli gepatitning «V» va «S» turlarini erta aniqlash va davolash tadbirlarini amalga oshirish tartibi. Manba: xayrullokomilov.uz/kutubxona, material № 343 (matn lotin yozuvida).</w:t>
      </w:r>
    </w:p>
    <w:p>
      <w:pPr>
        <w:pStyle w:val="ListParagraph"/>
        <w:numPr>
          <w:ilvl w:val="0"/>
          <w:numId w:val="6"/>
        </w:numPr>
        <w:spacing w:after="80" w:line="260"/>
      </w:pPr>
      <w:r>
        <w:rPr>
          <w:rFonts w:ascii="Times New Roman" w:cs="Times New Roman" w:eastAsia="Times New Roman" w:hAnsi="Times New Roman"/>
          <w:sz w:val="28"/>
          <w:szCs w:val="28"/>
        </w:rPr>
        <w:t xml:space="preserve">Usmanova R.G. Virusli gepatitlar (taqdimot). Manba: xayrullokomilov.uz/kutubxona, material № 1472 (matn kirill yozuvida).</w:t>
      </w:r>
    </w:p>
    <w:p>
      <w:pPr>
        <w:pStyle w:val="ListParagraph"/>
        <w:numPr>
          <w:ilvl w:val="0"/>
          <w:numId w:val="6"/>
        </w:numPr>
        <w:spacing w:after="80" w:line="260"/>
      </w:pPr>
      <w:r>
        <w:rPr>
          <w:rFonts w:ascii="Times New Roman" w:cs="Times New Roman" w:eastAsia="Times New Roman" w:hAnsi="Times New Roman"/>
          <w:sz w:val="28"/>
          <w:szCs w:val="28"/>
        </w:rPr>
        <w:t xml:space="preserve">World Health Organization. Hepatitis C (fact sheet). URL: https://www.who.int/news-room/fact-sheets/detail/hepatitis-c (kirilgan sana: 30.10.2026).</w:t>
      </w:r>
    </w:p>
    <w:sectPr>
      <w:pgSz w:w="11906" w:h="16838" w:orient="portrait"/>
      <w:pgMar w:top="1134" w:right="850" w:bottom="1134" w:left="1701"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decimal"/>
      <w:lvlText w:val="[%1]"/>
      <w:lvlJc w:val="left"/>
      <w:pPr>
        <w:ind w:left="720" w:hanging="720"/>
      </w:pPr>
      <w:rPr>
        <w:rFonts w:ascii="Times New Roman" w:cs="Times New Roman" w:eastAsia="Times New Roman" w:hAnsi="Times New Roman"/>
        <w:sz w:val="28"/>
        <w:szCs w:val="28"/>
      </w:rPr>
    </w:lvl>
  </w:abstractNum>
  <w:abstractNum w:abstractNumId="3" w15:restartNumberingAfterBreak="0">
    <w:multiLevelType w:val="hybridMultilevel"/>
    <w:lvl w:ilvl="0" w:tentative="1">
      <w:start w:val="1"/>
      <w:numFmt w:val="decimal"/>
      <w:lvlText w:val="%1)"/>
      <w:lvlJc w:val="left"/>
      <w:pPr>
        <w:ind w:left="851" w:hanging="425"/>
      </w:pPr>
      <w:rPr>
        <w:rFonts w:ascii="Times New Roman" w:cs="Times New Roman" w:eastAsia="Times New Roman" w:hAnsi="Times New Roman"/>
        <w:sz w:val="28"/>
        <w:szCs w:val="28"/>
      </w:rPr>
    </w:lvl>
  </w:abstractNum>
  <w:abstractNum w:abstractNumId="4" w15:restartNumberingAfterBreak="0">
    <w:multiLevelType w:val="hybridMultilevel"/>
    <w:lvl w:ilvl="0" w:tentative="1">
      <w:start w:val="1"/>
      <w:numFmt w:val="decimal"/>
      <w:lvlText w:val="%1)"/>
      <w:lvlJc w:val="left"/>
      <w:pPr>
        <w:ind w:left="851" w:hanging="425"/>
      </w:pPr>
      <w:rPr>
        <w:rFonts w:ascii="Times New Roman" w:cs="Times New Roman" w:eastAsia="Times New Roman" w:hAnsi="Times New Roman"/>
        <w:sz w:val="28"/>
        <w:szCs w:val="28"/>
      </w:rPr>
    </w:lvl>
  </w:abstractNum>
  <w:abstractNum w:abstractNumId="5" w15:restartNumberingAfterBreak="0">
    <w:multiLevelType w:val="hybridMultilevel"/>
    <w:lvl w:ilvl="0" w:tentative="1">
      <w:start w:val="1"/>
      <w:numFmt w:val="decimal"/>
      <w:lvlText w:val="%1)"/>
      <w:lvlJc w:val="left"/>
      <w:pPr>
        <w:ind w:left="851" w:hanging="425"/>
      </w:pPr>
      <w:rPr>
        <w:rFonts w:ascii="Times New Roman" w:cs="Times New Roman" w:eastAsia="Times New Roman" w:hAnsi="Times New Roman"/>
        <w:sz w:val="28"/>
        <w:szCs w:val="28"/>
      </w:rPr>
    </w:lvl>
  </w:abstractNum>
  <w:abstractNum w:abstractNumId="6" w15:restartNumberingAfterBreak="0">
    <w:multiLevelType w:val="hybridMultilevel"/>
    <w:lvl w:ilvl="0" w:tentative="1">
      <w:start w:val="1"/>
      <w:numFmt w:val="decimal"/>
      <w:lvlText w:val="%1)"/>
      <w:lvlJc w:val="left"/>
      <w:pPr>
        <w:ind w:left="851" w:hanging="425"/>
      </w:pPr>
      <w:rPr>
        <w:rFonts w:ascii="Times New Roman" w:cs="Times New Roman" w:eastAsia="Times New Roman" w:hAnsi="Times New Roman"/>
        <w:sz w:val="28"/>
        <w:szCs w:val="28"/>
      </w:rPr>
    </w:lvl>
  </w:abstractNum>
  <w:num w:numId="1">
    <w:abstractNumId w:val="1"/>
    <w:lvlOverride w:ilvl="0">
      <w:startOverride w:val="1"/>
    </w:lvlOverride>
  </w:num>
  <w:num w:numId="2">
    <w:abstractNumId w:val="3"/>
    <w:lvlOverride w:ilvl="0">
      <w:startOverride w:val="1"/>
    </w:lvlOverride>
  </w:num>
  <w:num w:numId="3">
    <w:abstractNumId w:val="4"/>
    <w:lvlOverride w:ilvl="0">
      <w:startOverride w:val="1"/>
    </w:lvlOverride>
  </w:num>
  <w:num w:numId="4">
    <w:abstractNumId w:val="5"/>
    <w:lvlOverride w:ilvl="0">
      <w:startOverride w:val="1"/>
    </w:lvlOverride>
  </w:num>
  <w:num w:numId="5">
    <w:abstractNumId w:val="6"/>
    <w:lvlOverride w:ilvl="0">
      <w:startOverride w:val="1"/>
    </w:lvlOverride>
  </w:num>
  <w:num w:numId="6">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8"/>
        <w:szCs w:val="28"/>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80"/>
    </w:pPr>
  </w:style>
  <w:style w:type="paragraph" w:styleId="TOC3">
    <w:name w:val="toc 3"/>
    <w:basedOn w:val="Normal"/>
    <w:next w:val="Normal"/>
    <w:uiPriority w:val="39"/>
    <w:semiHidden/>
    <w:unhideWhenUsed/>
    <w:pPr>
      <w:spacing w:after="100"/>
      <w:ind w:left="560"/>
    </w:pPr>
  </w:style>
  <w:style w:type="paragraph" w:styleId="TOC4">
    <w:name w:val="toc 4"/>
    <w:basedOn w:val="Normal"/>
    <w:next w:val="Normal"/>
    <w:uiPriority w:val="39"/>
    <w:semiHidden/>
    <w:unhideWhenUsed/>
    <w:pPr>
      <w:spacing w:after="100"/>
      <w:ind w:left="840"/>
    </w:pPr>
  </w:style>
  <w:style w:type="paragraph" w:styleId="TOC5">
    <w:name w:val="toc 5"/>
    <w:basedOn w:val="Normal"/>
    <w:next w:val="Normal"/>
    <w:uiPriority w:val="39"/>
    <w:semiHidden/>
    <w:unhideWhenUsed/>
    <w:pPr>
      <w:spacing w:after="100"/>
      <w:ind w:left="1120"/>
    </w:pPr>
  </w:style>
  <w:style w:type="paragraph" w:styleId="TOC6">
    <w:name w:val="toc 6"/>
    <w:basedOn w:val="Normal"/>
    <w:next w:val="Normal"/>
    <w:uiPriority w:val="39"/>
    <w:semiHidden/>
    <w:unhideWhenUsed/>
    <w:pPr>
      <w:spacing w:after="100"/>
      <w:ind w:left="1400"/>
    </w:pPr>
  </w:style>
  <w:style w:type="paragraph" w:styleId="TOC7">
    <w:name w:val="toc 7"/>
    <w:basedOn w:val="Normal"/>
    <w:next w:val="Normal"/>
    <w:uiPriority w:val="39"/>
    <w:semiHidden/>
    <w:unhideWhenUsed/>
    <w:pPr>
      <w:spacing w:after="100"/>
      <w:ind w:left="1680"/>
    </w:pPr>
  </w:style>
  <w:style w:type="paragraph" w:styleId="TOC8">
    <w:name w:val="toc 8"/>
    <w:basedOn w:val="Normal"/>
    <w:next w:val="Normal"/>
    <w:uiPriority w:val="39"/>
    <w:semiHidden/>
    <w:unhideWhenUsed/>
    <w:pPr>
      <w:spacing w:after="100"/>
      <w:ind w:left="1960"/>
    </w:pPr>
  </w:style>
  <w:style w:type="paragraph" w:styleId="TOC9">
    <w:name w:val="toc 9"/>
    <w:basedOn w:val="Normal"/>
    <w:next w:val="Normal"/>
    <w:uiPriority w:val="39"/>
    <w:semiHidden/>
    <w:unhideWhenUsed/>
    <w:pPr>
      <w:spacing w:after="100"/>
      <w:ind w:left="224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 w:type="paragraph" w:styleId="Heading1">
    <w:name w:val="Heading 1"/>
    <w:basedOn w:val="Normal"/>
    <w:next w:val="Normal"/>
    <w:qFormat/>
    <w:pPr>
      <w:spacing w:after="240" w:before="0"/>
      <w:outlineLvl w:val="0"/>
    </w:pPr>
    <w:rPr>
      <w:rFonts w:ascii="Times New Roman" w:cs="Times New Roman" w:eastAsia="Times New Roman" w:hAnsi="Times New Roman"/>
      <w:b/>
      <w:bCs/>
      <w:color w:val="000000"/>
      <w:sz w:val="30"/>
      <w:szCs w:val="30"/>
    </w:rPr>
  </w:style>
  <w:style w:type="paragraph" w:styleId="Heading2">
    <w:name w:val="Heading 2"/>
    <w:basedOn w:val="Normal"/>
    <w:next w:val="Normal"/>
    <w:qFormat/>
    <w:pPr>
      <w:spacing w:after="100" w:before="200"/>
      <w:outlineLvl w:val="1"/>
    </w:pPr>
    <w:rPr>
      <w:rFonts w:ascii="Times New Roman" w:cs="Times New Roman" w:eastAsia="Times New Roman" w:hAnsi="Times New Roman"/>
      <w:b/>
      <w:bCs/>
      <w:color w:val="000000"/>
      <w:sz w:val="28"/>
      <w:szCs w:val="28"/>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085. Virusli gepatit B kasalligida epidemiyaga qarshi tadbirlar va maxsus profilaktika choralari</dc:title>
  <dc:creator>Epidemiologiya</dc:creator>
  <cp:lastModifiedBy>Un-named</cp:lastModifiedBy>
  <cp:revision>1</cp:revision>
  <dcterms:created xsi:type="dcterms:W3CDTF">2026-10-30T13:21:18.771Z</dcterms:created>
  <dcterms:modified xsi:type="dcterms:W3CDTF">2026-10-30T13:21:18.771Z</dcterms:modified>
</cp:coreProperties>
</file>

<file path=docProps/custom.xml><?xml version="1.0" encoding="utf-8"?>
<Properties xmlns="http://schemas.openxmlformats.org/officeDocument/2006/custom-properties" xmlns:vt="http://schemas.openxmlformats.org/officeDocument/2006/docPropsVTypes"/>
</file>