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086. Virusli gepatit C da epidemik jarayonning xususiyatlari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Virusli gepatit C (VGS) – gepatit C virusi (HCV) keltirib chiqaradigan jigar infeksiyasi; o'tkir va surunkali kechadi, og'irligi yengil kasallikdan umr bo'yi davom etadigan sirroz va saratongacha. JSST ma'lumotiga ko'ra dunyoda 47 million kishi surunkali VGS bilan yashaydi, har yili taxminan 0,9 million yangi yuqish bo'ladi va 2024 yilda 239 ming kishi vafot etgan; samarali vaksina yo'q, lekin bevosita ta'sir qiluvchi antivirus dorilar bemorlarning 95% dan ko'pini davolaydi [1]. VGS epidemik jarayonining asosiy o'ziga xosligi uning yashirinligi: o'tkir shakllar odatda simptomsiz, surunkali infeksiya o'nlab yillar belgisiz kechadi, shuning uchun epidemiya «ko'rinmas» tarqaladi. VGS ko'pincha VGB bilan bir xil xavf guruhlarida uchraydi [4]; VGB ga qarshi vaksinatsiya VGD dan ham himoyalaydi, VGS ga esa vaksina yo'q [2][1]. Taqdimotda gepatitlar etiologiyasiga ko'ra enteral (A, E) va parenteral (B, C, D) guruhlarga bo'linishi, surunkali shakl kasallik 6 oydan ortiq davom etganda tashxis qilinishi ko'rsatilgan [5]. Quyida epidemik jarayon bo'g'inlari va profilaktika yoritiladi.</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Flaviviridae oilasiga mansub, 30–60 nm o'lchamli, qobiqli RNK-virus; qonda iz miqdorlarda uchraydi, past zichlikdagi lipoproteinlar va antitelalar bilan bog'langan; 8 genotip va 100 dan ortiq kenja tip ma'lum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o'tkir va surunkali VGS ning barcha shakllari bilan og'rigan bemorlar, asosiy ahamiyat simptomsiz yoki kam simptomli bemorlarda [2]. JSST: o'tkir infeksiya odatda simptomsiz; zararlanganlarning taxminan 30% (15–45%) i 6 oy ichida davolanishsiz virusdan tozalanadi, qolgan 70% (55–85%) da surunkali infeksiya rivojlanadi; surunkali infeksiyada 20 yil ichida sirroz xavfi 15–30%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parenteral: sun'iy yo'l – gemotransfuziya yoki parenteral muolajalar (in'ektsiya, abort, emlash, stomatologik muolajalar va b.), tabiiy yo'llar qon va qisman boshqa suyuqliklar orqali; virus RNKsi so'lak, siydik, urug' va astsit suyuqligida topilishi mumkin, ammo jinsiy kontaktda VGS bilan kasallanish ehtimoli VGB ga qaraganda ancha kam; maishiy, jinsiy va ona-bola yo'llari ham bo'lishi mumkin, ammo VGB ga nisbatan ancha kam uchraydi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asosiy yo'llar: tibbiy asbob-uskunalarni (ayniqsa shprits va ignalarni) qayta ishlatish yoki yetarlicha sterilizatsiya qilmaslik; tekshirilmagan qon va qon mahsulotlarini quyish; in'ektsion giyohvandlar umumiy asboblari; kamroq – onadan bolaga va qon bilan kontaktga olib keladigan jinsiy amaliyotlar. VGS ona suti, ovqat, suv yoki oddiy kontakt (quchoqlash, o'pish, ovqatni birga yeyish) orqali yuqmaydi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Inkubatsion davr yo'riqnomada 2–26 hafta (o'rtacha 6–8 hafta), JSST bo'yicha simptomlar zararlanishdan 2 hafta – 6 oy o'tib paydo bo'lishi mumkin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 aholi: umumiy moyillik; xavf guruhlari – in'ektsion giyohvandlar, gemofiliya bilan kasallanganlar, qon oluvchilar, gemodializ bemorlari, takroriy tibbiy muolajalar olganlar, tibbiyot xodimlari, mahbuslar, OIV bilan yashovchilar [1][2].</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VGS hamma joyda uchraydi, lekin notekis tarqalgan: eng ko'p yuk Sharqiy O'rta yer dengizi mintaqasida (12 million surunkali zararlangan), Janubi-Sharqiy Osiyo va Yevropada (har biri 9 million), G'arbiy Tinch okeanida (7 million), Afrikada (8 million) va Amerikada (5 million) [1]. Yo'riqnomada dunyoda taxminan 500 million HCV bilan zararlangan va ularning taxminan yarmida yuqish yo'li noma'lum deb keltirilgan – bu eski baho JSSTning hozirgi bahosidan (47 million surunkali) keskin farq qiladi [1][2]. VGS post-transfuzion gepatitning asosiy omillaridan biri hisoblanadi, ko'pincha gemofiliya bemorlarida uchraydi [2]. Ko'pchilik zararlanganlar o'z holatini bilmaydi: 2015–2024 yillarda VGS bilan zararlangan 68 million kishining 36% i tashxisni bilgan, tashxis qo'yilganlarning taxminan 20% i davolangan [1].</w:t>
      </w:r>
    </w:p>
    <w:p>
      <w:pPr>
        <w:pStyle w:val="Heading2"/>
        <w:spacing w:after="100" w:before="200"/>
      </w:pPr>
      <w:r>
        <w:rPr>
          <w:rFonts w:ascii="Times New Roman" w:cs="Times New Roman" w:eastAsia="Times New Roman" w:hAnsi="Times New Roman"/>
          <w:b/>
          <w:bCs/>
          <w:sz w:val="28"/>
          <w:szCs w:val="28"/>
        </w:rPr>
        <w:t xml:space="preserve">Laborator tashxis</w:t>
      </w:r>
    </w:p>
    <w:p>
      <w:pPr>
        <w:spacing w:after="120" w:line="276"/>
        <w:ind w:firstLine="567"/>
        <w:jc w:val="both"/>
      </w:pPr>
      <w:r>
        <w:rPr>
          <w:rFonts w:ascii="Times New Roman" w:cs="Times New Roman" w:eastAsia="Times New Roman" w:hAnsi="Times New Roman"/>
          <w:sz w:val="28"/>
          <w:szCs w:val="28"/>
        </w:rPr>
        <w:t xml:space="preserve">VGS tashxisi ikki bosqichda qo'yiladi: anti-HCV antitelalarini serologik aniqlash; antitela musbat bo'lsa, surunkali infeksiyani va davolash zarurligini tasdiqlash uchun HCV RNK aniqlanadi (laboratoriyada yoki klinikada nuqtaviy apparatda); keyin jigar shikastlanishi (fibroz, sirroz) baholanadi [1]. O'zbekistonda anti-HCV musbat bemorlar qoni PZR tekshiruvi uchun yuboriladi [3].</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Samarali vaksina yo'q – eng yaxshi yo'l zararlangan qon bilan kontaktdan saqlanish: xavfsiz in'ektsiyalar va muolajalar, igna va tibbiy chiqindilarni xavfsiz boshqarish, in'ektsion giyohvandlar uchun zararni kamaytirish xizmatlari (igna almashtirish, narkologik maslahat, opioid agonistlari bilan terapiya), donor qonini tekshirish, prezervativ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O'choqlarda tadbirlar inkubatsion davr va kontakt darajasiga bog'liq. Uy va tashkil etilgan o'choqlarda shaxsiy gigiena buyumlari (tish cho'tkasi, ustara, manikyur-pedikyur to'plamlari) alohida bo'lishi; umumiy ishlatish aniqlansa kontaktdagilar ro'yxati tuzilib, infeksiyonist shifokorga laborator tekshiruv va kerak bo'lsa dispanser hisobi uchun beriladi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Maishiy xizmat obyektlarida manikyur, pedikyur va tatuaj asboblari soni kunlik mijozlar soniga mos bo'lishi va yo'riqnoma bo'yicha dezinfeksiya qilinishi yoki mijozlarning shaxsiy to'plamlaridan foydalanilishi kerak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muassasasida VGS aniqlansa, yuqish yo'lini uzish tadbirlari VGB dagi kabi; anti-HCV aniqlangan donorlar umrbod donorlikdan chetlashtiriladi; donorlar, konservalangan qon va uning hosilalarini VGS ga tekshirish majburiy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O'tkir VGS o'choqlarida kontaktdagilar bemor yotqizilganidan 6 oy tibbiy kuzatuvda bo'ladi, shifokor ko'rigi 2 oyda bir marta, ALT faolligi va anti-HCV aniqlanadi; birinchi tekshiruvda himoyalovchi darajadagi anti-HCV aniqlanganlar keyin tekshirilmaydi; anti-HCV va ALT oshgan shaxslar jigar ultratovushi bilan chuqur tekshiriladi [2].</w:t>
      </w:r>
    </w:p>
    <w:p>
      <w:pPr>
        <w:pStyle w:val="Heading2"/>
        <w:spacing w:after="100" w:before="200"/>
      </w:pPr>
      <w:r>
        <w:rPr>
          <w:rFonts w:ascii="Times New Roman" w:cs="Times New Roman" w:eastAsia="Times New Roman" w:hAnsi="Times New Roman"/>
          <w:b/>
          <w:bCs/>
          <w:sz w:val="28"/>
          <w:szCs w:val="28"/>
        </w:rPr>
        <w:t xml:space="preserve">Davolash va milliy dastur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kattalar, o'smirlar va 3 yoshdan katta bolalarda surunkali VGS ni pan-genotipik bevosita ta'sir qiluvchi antivirus dorilar bilan davolashni tavsiya etadi; kurs odatda 12–24 hafta, nojo'ya ta'sirlar kam, ko'plab mamlakatlarda standart davo narxi 50 AQSh dollaridan past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O'zbekistonda 2023 yil 95-son buyruq aholini «V» va «S» gepatitga skrining, tasdiqlovchi tekshiruvlar va VGS ni davolashni bepul qiladi; PZR bilan VGS aniqlangan bemorlar davlat byudjeti hisobidan antivirus preparatlarini bepul oladi; skrining oilaviy poliklinikalarda ekspress-testlar bilan o'tkaziladi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testlash, davolash va parvarishni o'qitilgan nomutaxassis shifokor va hamshiralar, birlamchi tibbiy yordam, zararni kamaytirish xizmatlari va qamoqxonalarda amalga oshirishni tavsiya etadi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VGS epidemik jarayonining o'ziga xosligi: parenteral mexanizm, simptomsiz o'tkir shakl, ~70% da surunkalilashish, ko'p odamning o'z holatini bilmasligi, tibbiy va in'ektsion yo'llarning ustuvorligi va vaksina yo'qligi. Profilaktikaning asosi – in'ektsion va qon xavfsizligi, xavf guruhlarini skrining qilish va barcha tashxis qo'yilganlarni bevosita ta'sir qiluvchi dorilar bilan davolash; milliy dastur 95-son buyruq bilan bepul skrining va davolashni ta'minlaydi.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Hepatitis C (fact sheet). URL: https://www.who.int/news-room/fact-sheets/detail/hepatitis-c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27-avgustdagi 542-son buyrug'iga 1-ilova: «Virusli gepatitlar epidemiologiyasi, profilaktik va epidemiyaga qarshi tadbirlarni tashkil etish» yo'riqnomasi (rus tilidagi matn). Manba: xayrullokomilov.uz/kutubxona, material № 484.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1-maydagi 95-son buyrug'i: aholi orasida virusli gepatitning «V» va «S» turlarini erta aniqlash va davolash tadbirlarini amalga oshirish tartibi. Manba: xayrullokomilov.uz/kutubxona, material № 343 (matn lotin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Hepatitis B (fact sheet). URL: https://www.who.int/news-room/fact-sheets/detail/hepatitis-b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Usmanova R.G. Virusli gepatitlar (taqdimot). Manba: xayrullokomilov.uz/kutubxona, material № 1472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086. Virusli gepatit C da epidemik jarayonning xususiyatlari va profilaktikasi</dc:title>
  <dc:creator>Epidemiologiya</dc:creator>
  <cp:lastModifiedBy>Un-named</cp:lastModifiedBy>
  <cp:revision>1</cp:revision>
  <dcterms:created xsi:type="dcterms:W3CDTF">2026-10-30T13:21:18.779Z</dcterms:created>
  <dcterms:modified xsi:type="dcterms:W3CDTF">2026-10-30T13:21:18.779Z</dcterms:modified>
</cp:coreProperties>
</file>

<file path=docProps/custom.xml><?xml version="1.0" encoding="utf-8"?>
<Properties xmlns="http://schemas.openxmlformats.org/officeDocument/2006/custom-properties" xmlns:vt="http://schemas.openxmlformats.org/officeDocument/2006/docPropsVTypes"/>
</file>