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140. OIV infeksiyasining parenteral yuqishining oldini olish tadbirlari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Parenteral yo'l – OIV zararlangan qon yoki boshqa biologik suyuqlikning teri butunligi buzilgan joy, tomir yoki shilliq qavat orqali organizmga bevosita tushishi. Darslikda sun'iy (parenteral) yo'llar quyidagilarni o'z ichiga oladi: qon va qon o'rnini bosuvchi preparatlarni quyish, a'zo va to'qimalarni ko'chirib o'tkazish, in'ektsiya, endoskopik muolajalar, tatuirovka, steril bo'lmagan shprits bilan giyohvand moddalarni kiritish [1]. Zararlangan qonni bir marta quyishda yuqish ehtimoli 90% dan yuqori, umumiy in'ektsion asboblarda esa bir martalik jinsiy aloqadagidan birmuncha yuqori [1]. O'zbekistonda 2000 yildan parenteral yo'l asosiy yo'llardan biriga aylangan [1], bolalar orasida 2007–2012 yillarda 60–81% ni tashkil etgan [2]. Shu sababli parenteral yuqishning oldini olish alohida tadbirlar tizimini talab qiladi.</w:t>
      </w:r>
    </w:p>
    <w:p>
      <w:pPr>
        <w:pStyle w:val="Heading2"/>
        <w:spacing w:after="100" w:before="200"/>
      </w:pPr>
      <w:r>
        <w:rPr>
          <w:rFonts w:ascii="Times New Roman" w:cs="Times New Roman" w:eastAsia="Times New Roman" w:hAnsi="Times New Roman"/>
          <w:b/>
          <w:bCs/>
          <w:sz w:val="28"/>
          <w:szCs w:val="28"/>
        </w:rPr>
        <w:t xml:space="preserve">Parenteral yo'lning guruhlari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Tibbiy: qon va uning preparatlari, transplantatsiya, in'ektsiya, kateterlar, endoskopiya, jarrohlik va stomatologik muolajalar. 2007–2012 yillarda bolalarda parenteral holatlar orasida tibbiy igna va sistemalar 49,9–93,5%, subklavian kateter 4,07–38,4%, jarrohlik 2,5–4,7%, qon quyish 2007 yilda 3,9% dan 2010 va 2012 yillarda 0% gacha pasaygan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Notibbiy: in'ektsion giyohvandlik (umumiy shprits, igna, giyohvand modda eritmasi), tatuirovka, teshish va boshqa steril bo'lmagan teri muolajalari, manikyur va soch-soqol olish asboblari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Kasbiy: tibbiyot xodimlarida igna jarohati va shilliq qavat kontakti; o'rtacha xavf o'tkir asbobda 0,23%, shilliq qavatda 0,09% [4].</w:t>
      </w:r>
    </w:p>
    <w:p>
      <w:pPr>
        <w:pStyle w:val="Heading2"/>
        <w:spacing w:after="100" w:before="200"/>
      </w:pPr>
      <w:r>
        <w:rPr>
          <w:rFonts w:ascii="Times New Roman" w:cs="Times New Roman" w:eastAsia="Times New Roman" w:hAnsi="Times New Roman"/>
          <w:b/>
          <w:bCs/>
          <w:sz w:val="28"/>
          <w:szCs w:val="28"/>
        </w:rPr>
        <w:t xml:space="preserve">Qon va qon mahsulotlari, a'zolar xavfsizligi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Qonunga ko'ra qon va biologik suyuqliklar donorlari majburiy OIVga tekshiriladi; OIV yuqtirgan shaxs donor bo'lishi mumkin emas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Donorlarda IFA musbat bo'lsa, qon 24 soat ichida komissiya ishtirokida yo'q qilinadi, donor umrbod donorlikdan chetlashtiriladi, avval topshirilgan qon ishlatilgan bo'lsa retsipiyentlar aniqlanib tekshiriladi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 quyilganlar va a'zo oluvchilar tekshiruvning ustuvor kontingentlari qatoriga kiritilgan; qon quyilgan bemorlar ham OIVga tekshiruv kodlari bo'yicha ko'riladi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 quyilishi sababli yuqish gumon qilinganda surishtiruv ushbu qonni olgan muassasa donorni qayta tekshirishini ham o'z ichiga oladi [6].</w:t>
      </w:r>
    </w:p>
    <w:p>
      <w:pPr>
        <w:pStyle w:val="Heading2"/>
        <w:spacing w:after="100" w:before="200"/>
      </w:pPr>
      <w:r>
        <w:rPr>
          <w:rFonts w:ascii="Times New Roman" w:cs="Times New Roman" w:eastAsia="Times New Roman" w:hAnsi="Times New Roman"/>
          <w:b/>
          <w:bCs/>
          <w:sz w:val="28"/>
          <w:szCs w:val="28"/>
        </w:rPr>
        <w:t xml:space="preserve">Tibbiy muassasalarda tadbirlar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64-son buyruqqa ko'ra davolash-profilaktika muassasalarida shifoxona ichi infeksiyalari profilaktikasi, donorlik, tibbiy chiqindilarni utilizatsiya qilish va sterilizatsiya bo'yicha me'yoriy talablarga qat'iy rioya etilishi, sterilizatsiya va dezinfeksiyalovchi vositalar bilan ta'minlanishi har chorakda o'rganilishi belgilangan [7].</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Tibbiy avariya har bir holatda ro'yxatga olinadi, kontaktdan keyingi profilaktika o'tkaziladi, kasbiy kontakt hujjatlari 72 soatdan kechiktirmay OITS markaziga yuboriladi [7].</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Parenteral muolajalarning sonini imkon qadar kamaytirish: 4-son buyruq ijrosi bo'yicha qarorda tibbiy yordamga murojaat qilganlarga parenteral muolajalarni iloji boricha kamaytirish choralari ko'rilishi ko'rsatilgan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Kontaktdan keyingi birinchi yordam: jarohatni sovun bilan yuvish, oqar suv, spirt, yod va oqartiruvchi vositalarni ishlatmaslik, ko'z va og'izni suv yoki fiziologik eritma bilan yuvish; 72 soat ichida KKP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Epidemiologik surishtiruv: parenteral yo'l bilan yuqish gumon qilingan har bir holat (hududiy tibbiy kengashlarda) tanqidiy ko'rib chiqiladi, ayrim hollarda qonun buzilishi aniqlansa huquqni muhofaza qilish organlariga taqdim etiladi [6].</w:t>
      </w:r>
    </w:p>
    <w:p>
      <w:pPr>
        <w:pStyle w:val="Heading2"/>
        <w:spacing w:after="100" w:before="200"/>
      </w:pPr>
      <w:r>
        <w:rPr>
          <w:rFonts w:ascii="Times New Roman" w:cs="Times New Roman" w:eastAsia="Times New Roman" w:hAnsi="Times New Roman"/>
          <w:b/>
          <w:bCs/>
          <w:sz w:val="28"/>
          <w:szCs w:val="28"/>
        </w:rPr>
        <w:t xml:space="preserve">In'ektsion giyohvandlar orasida tadbirlar</w:t>
      </w:r>
    </w:p>
    <w:p>
      <w:pPr>
        <w:spacing w:after="120" w:line="276"/>
        <w:ind w:firstLine="567"/>
        <w:jc w:val="both"/>
      </w:pPr>
      <w:r>
        <w:rPr>
          <w:rFonts w:ascii="Times New Roman" w:cs="Times New Roman" w:eastAsia="Times New Roman" w:hAnsi="Times New Roman"/>
          <w:sz w:val="28"/>
          <w:szCs w:val="28"/>
        </w:rPr>
        <w:t xml:space="preserve">JSST in'ektsion giyohvand moddalarni iste'mol qilganlar uchun zararni kamaytirish xizmatlaridan foydalanishni tavsiya qiladi va zararlangan igna, shprits va boshqa asboblarni umumiy ishlatishni asosiy xavf omillari qatoriga kiritadi [3]. Protokolda opioid o'rnini bosuvchi terapiya (OO'T), aksiya va ijtimoiy qo'llab-quvvatlash mahsulotlarini tarqatish, autrich ishlari (giyohvandlarga yaqin shaxslar va remissiyadagi giyohvandlar ishtirokida) hamda «Ishonch xonalari» faoliyati ko'zda tutilgan [8]. Maslahat chog'ida xavfsiz in'ektsiya haqida ma'lumot beriladi [6]. Giyohvandlikda gumon qilinayotgan shaxslar qonun bo'yicha majburiy tekshiriladi [5].</w:t>
      </w:r>
    </w:p>
    <w:p>
      <w:pPr>
        <w:pStyle w:val="Heading2"/>
        <w:spacing w:after="100" w:before="200"/>
      </w:pPr>
      <w:r>
        <w:rPr>
          <w:rFonts w:ascii="Times New Roman" w:cs="Times New Roman" w:eastAsia="Times New Roman" w:hAnsi="Times New Roman"/>
          <w:b/>
          <w:bCs/>
          <w:sz w:val="28"/>
          <w:szCs w:val="28"/>
        </w:rPr>
        <w:t xml:space="preserve">Notibbiy xizmatlar sohasi</w:t>
      </w:r>
    </w:p>
    <w:p>
      <w:pPr>
        <w:spacing w:after="120" w:line="276"/>
        <w:ind w:firstLine="567"/>
        <w:jc w:val="both"/>
      </w:pPr>
      <w:r>
        <w:rPr>
          <w:rFonts w:ascii="Times New Roman" w:cs="Times New Roman" w:eastAsia="Times New Roman" w:hAnsi="Times New Roman"/>
          <w:sz w:val="28"/>
          <w:szCs w:val="28"/>
        </w:rPr>
        <w:t xml:space="preserve">Qonunga ko'ra OIV yuqtirganlar jinsiy sherigini hamda teri va shilliq qavat butunligini buzuvchi muolajalarda sanchiladigan va kesadigan asboblardan foydalanuvchi tibbiyot hamda xizmat ko'rsatish xodimlarini kasalligi haqida xabardor etishi shart [5]. Go'zallik salonlari, tatuirovka va soch-soqol xizmatlarida steril asboblar va dezinfeksiya rejimiga rioya etilishi, qayta ishlatiladigan asboblarni sterilizatsiya qilish zarur; bu sohadagi aniq sanitariya talablari kutubxona hujjatlaridan olinmadi (tasdiqlanmagan).</w:t>
      </w:r>
    </w:p>
    <w:p>
      <w:pPr>
        <w:pStyle w:val="Heading2"/>
        <w:spacing w:after="100" w:before="200"/>
      </w:pPr>
      <w:r>
        <w:rPr>
          <w:rFonts w:ascii="Times New Roman" w:cs="Times New Roman" w:eastAsia="Times New Roman" w:hAnsi="Times New Roman"/>
          <w:b/>
          <w:bCs/>
          <w:sz w:val="28"/>
          <w:szCs w:val="28"/>
        </w:rPr>
        <w:t xml:space="preserve">Epidemiologik nazorat va samaradorlikni baholash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Yuqish yo'llari tarkibini kuzatish: yangi aniqlangan holatlarda parenteral, jinsiy, vertikal va noaniq yo'llar ulushi yillar bo'yicha taqqoslanadi. Masalan, darslikka ko'ra jinsiy yo'l ulushi 2005 yildagi 10% dan 2009 yilda 32,2% gacha oshgan, noaniq yo'llar ham sezilarli saqlanib qolgan [1]; bolalar orasida noaniq yo'l 4,7–11,4% ni tashkil etgan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Bolalar orasidagi parenteral holatlarni muassasalar kesimida tahlil qilish: yuqish omillari (igna va sistemalar, kateter, jarrohlik, qon quyish) ulushi, hududlar bo'yicha taqsimot; 2011–2012 yillar bolalar holatlarining viloyatlar kesimida solishtirma tahlili taqdimotda keltirilgan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Har bir parenteral va vertikal holatni hududiy tibbiy kengashlarda tanqidiy ko'rib chiqish, epidemiologik surishtiruv va kamchiliklarni bartaraf etish [6]; kech aniqlangan (3–4 bosqich) holatlarni alohida tahlil qilish [6].</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Sentinel nazorat: in'ektsion giyohvandlar orasida OIV tarqalganligi 2009 yilda 10,9%, 2011 yilda 8,5% bo'lgan; 2012 yil uchun reja 22,0% dan kam deb belgilangan [2]. So'nggi yillar uchun shu ko'rsatkichlar kutubxonada topilmadi (tasdiqlanmagan).</w:t>
      </w:r>
    </w:p>
    <w:p>
      <w:pPr>
        <w:pStyle w:val="Heading2"/>
        <w:spacing w:after="100" w:before="200"/>
      </w:pPr>
      <w:r>
        <w:rPr>
          <w:rFonts w:ascii="Times New Roman" w:cs="Times New Roman" w:eastAsia="Times New Roman" w:hAnsi="Times New Roman"/>
          <w:b/>
          <w:bCs/>
          <w:sz w:val="28"/>
          <w:szCs w:val="28"/>
        </w:rPr>
        <w:t xml:space="preserve">Aholi va bemorlar uchun tavsiyalar</w:t>
      </w:r>
    </w:p>
    <w:p>
      <w:pPr>
        <w:spacing w:after="120" w:line="276"/>
        <w:ind w:firstLine="567"/>
        <w:jc w:val="both"/>
      </w:pPr>
      <w:r>
        <w:rPr>
          <w:rFonts w:ascii="Times New Roman" w:cs="Times New Roman" w:eastAsia="Times New Roman" w:hAnsi="Times New Roman"/>
          <w:sz w:val="28"/>
          <w:szCs w:val="28"/>
        </w:rPr>
        <w:t xml:space="preserve">Tekshiruv oldi maslahatda mijozning invaziv muolajalar (tibbiy va notibbiy), qon quyilishi, transplantatsiya va in'ektsion giyohvandlik tarixi baholanadi, xavfsiz xulq-atvor ko'nikmalari tushuntiriladi [6]. Aholiga quyidagilar tavsiya etiladi: tibbiy muolajalarda faqat steril yoki bir martalik asboblardan foydalanishni talab qilish, teri butunligini buzuvchi xizmatlardan (tatuirovka, manikyur, soch-soqol olish) faqat steril asboblar qo'llanadigan joylarda foydalanish, shaxsiy ustara va manikyur asboblarini boshqalar bilan almashmaslik, giyohvand moddalarni in'ektsiya qilmaslik, zarurat bo'lsa zararni kamaytirish va davolash xizmatlariga murojaat qilish (bu tavsiyalar xavf omillaridan mantiqiy kelib chiqadi, tasdiqlanmagan) [1][3]. OIV bilan yashovchi shaxslar esa tibbiyot xodimlari tavsiya etgan infeksiyani tarqatmaslik choralarini bajarishi, sog'lom odamlar bilan kontaktda ehtiyot choralariga rioya etishi va sanchiladigan-kesadigan asboblardan foydalanuvchi xodimlarni kasalligidan xabardor qilishi shart [5].</w:t>
      </w:r>
    </w:p>
    <w:p>
      <w:pPr>
        <w:pStyle w:val="Heading2"/>
        <w:spacing w:after="100" w:before="200"/>
      </w:pPr>
      <w:r>
        <w:rPr>
          <w:rFonts w:ascii="Times New Roman" w:cs="Times New Roman" w:eastAsia="Times New Roman" w:hAnsi="Times New Roman"/>
          <w:b/>
          <w:bCs/>
          <w:sz w:val="28"/>
          <w:szCs w:val="28"/>
        </w:rPr>
        <w:t xml:space="preserve">Kontaktdan keyingi profilaktika va kuzatuv</w:t>
      </w:r>
    </w:p>
    <w:p>
      <w:pPr>
        <w:spacing w:after="120" w:line="276"/>
        <w:ind w:firstLine="567"/>
        <w:jc w:val="both"/>
      </w:pPr>
      <w:r>
        <w:rPr>
          <w:rFonts w:ascii="Times New Roman" w:cs="Times New Roman" w:eastAsia="Times New Roman" w:hAnsi="Times New Roman"/>
          <w:sz w:val="28"/>
          <w:szCs w:val="28"/>
        </w:rPr>
        <w:t xml:space="preserve">Parenteral kontakt sodir bo'lgach xavf shakliga (teri, shilliq qavat), material turi va miqdoriga, vaqtga qarab baholanadi. Imkon bo'lsa manba shaxs tez OIVga tekshiriladi; tezkor test 24–48 soat ichida IFA natijasi olish imkoni bo'lmasa o'tkaziladi; ikkita IFA yoki tezkor test musbat bo'lsa yuqori ehtimol, manfiy natija esa antitana yo'qligini bildiradi [4]. Kontaktdagi shaxsga 28 kunlik ARV kursi xavfga qarab tayinlanadi, 6 oy davomida antitanalarga test manfiy bo'lguncha prezervativdan foydalanish, qon, to'qima yoki sperma topshirishdan tiyilish tavsiya etiladi, immunoblotni kutib KKP kechiktirilmaydi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Parenteral yo'l OIVning O'zbekistondagi muhim yuqish yo'llaridan biri bo'lib, tibbiy va notibbiy muolajalar, in'ektsion giyohvandlik va kasbiy kontaktni qamraydi. Oldini olish: donorlar va qon mahsulotlarini majburiy tekshirish, qon xavfsizligi, sterilizatsiya va in'ektsion xavfsizlik, tibbiy avariyalar bo'yicha KKP, zararni kamaytirish dasturlari, hamda har bir parenteral holatni epidemiologik surishtirish.</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 ma'lumotlar 2009–2013 yillargacha).</w:t>
      </w:r>
    </w:p>
    <w:p>
      <w:pPr>
        <w:pStyle w:val="ListParagraph"/>
        <w:numPr>
          <w:ilvl w:val="0"/>
          <w:numId w:val="6"/>
        </w:numPr>
        <w:spacing w:after="80" w:line="260"/>
      </w:pPr>
      <w:r>
        <w:rPr>
          <w:rFonts w:ascii="Times New Roman" w:cs="Times New Roman" w:eastAsia="Times New Roman" w:hAnsi="Times New Roman"/>
          <w:sz w:val="28"/>
          <w:szCs w:val="28"/>
        </w:rPr>
        <w:t xml:space="preserve">Nurmatov A.X. O'zbekistonda OIV infeksiyasi bo'yicha epidemik vaziyat (taqdimot), 5- va 19-slaydlar (2007–2012 yillar ma'lumotlari). Manba: xayrullokomilov.uz/kutubxona, material № 1378.</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vazirligining 2008-yil 4-yanvardagi 4-son buyrug'i (OIV infeksiyasini kontaktdan keyingi profilaktikasi) asosida tuzilgan bayonnoma va ijro rejasi. Manba: xayrullokomilov.uz/kutubxona, material № 511 (matn kirill yozuvida; buyruqning o'zi emas, uning ilovalari va ijro hujjatlari).</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(LexUZ matni). Manba: xayrullokomilov.uz/kutubxona, material № 198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(1–3-ilovalar: maslahat berish va yo'naltirish, laborator tashxis, epidemiologik surishtiruv). Manba: xayrullokomilov.uz/kutubxona, material № 459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2024-yil 29-fevraldagi 64-son buyrug'i: davolash-profilaktika muassasalarida OIV infeksiyasini shifoxona ichi sharoitida tarqalish holatlarining oldini olish. Manba: xayrullokomilov.uz/kutubxona, material № 378.</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140. OIV infeksiyasining parenteral yuqishining oldini olish tadbirlari</dc:title>
  <dc:creator>Epidemiologiya</dc:creator>
  <cp:lastModifiedBy>Un-named</cp:lastModifiedBy>
  <cp:revision>1</cp:revision>
  <dcterms:created xsi:type="dcterms:W3CDTF">2026-10-30T13:21:19.159Z</dcterms:created>
  <dcterms:modified xsi:type="dcterms:W3CDTF">2026-10-30T13:21:19.159Z</dcterms:modified>
</cp:coreProperties>
</file>

<file path=docProps/custom.xml><?xml version="1.0" encoding="utf-8"?>
<Properties xmlns="http://schemas.openxmlformats.org/officeDocument/2006/custom-properties" xmlns:vt="http://schemas.openxmlformats.org/officeDocument/2006/docPropsVTypes"/>
</file>