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141. ARVP va ARVT nima, ular kimga va qachon tayinlanadi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ARVT (antiretrovirus terapiya, protokolda RQT – «retrovirusga qarshi terapiya») – OIV bilan yashovchi shaxsning o'zi uchun uzluksiz, ko'pincha umrbod qabul qilinadigan uchta yoki undan ortiq antiretrovirus preparatlar kombinatsiyasi bilan davolashdir. ARVP (antiretrovirus profilaktika, «RQP» – retrovirusga qarshi profilaktika) esa infeksiyani yuqtirmagan yoki hali yuqmagan shaxsga zararlanishning oldini olish maqsadida ARV preparatlarini berishdir: kontaktdan keyingi profilaktika (KKP), onadan bolaga yuqishning oldini olish (OBYuP) va ekspozitsiyadan oldingi profilaktika (PrEP). JSST ma'lumotiga ko'ra joriy ART OIV infeksiyasini to'liq davolamaydi, lekin immun tizimini mustahkamlab, virus ko'payishini to'xtatadi va davolanayotgan, qonida virus aniqlanmaydigan odam jinsiy sherigiga virus yuqtirmaydi [1]. Quyida har ikkala yo'nalish va ularni kimga hamda qachon tayinlash tartibi bayon etiladi [2][4].</w:t>
      </w:r>
    </w:p>
    <w:p>
      <w:pPr>
        <w:pStyle w:val="Heading2"/>
        <w:spacing w:after="100" w:before="200"/>
      </w:pPr>
      <w:r>
        <w:rPr>
          <w:rFonts w:ascii="Times New Roman" w:cs="Times New Roman" w:eastAsia="Times New Roman" w:hAnsi="Times New Roman"/>
          <w:b/>
          <w:bCs/>
          <w:sz w:val="28"/>
          <w:szCs w:val="28"/>
        </w:rPr>
        <w:t xml:space="preserve">ARVT (davolash): kimga va qachon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Tayinlash tartibi: RQT Respublika va hududiy OITSga qarshi kurash markazlari komissiyasining qarori bilan, bayonnoma asosida tayinlanadi; davolovchi shifokor klinik-laborator ko'rsatkichlarni baholab komissiyaga taklif kiritadi, qaror ambulator-dispanser kartasiga yoziladi; tayinlash huquqi faqat Respublika, Qoraqalpog'iston, viloyatlar va Toshkent shahar OITSga qarshi kurash markazlarida, dori tarqatish esa tuman darajasidagi DPM va tug'ruq muassasalarida amalga oshiriladi [2]. Qonunga ko'ra OIV yuqtirganlar uchun maxsus davolash bepul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Kattalar (18 yoshdan katta): protokol bo'yicha 1 va 2 klinik bosqichda CD4 ≤500 hujayra/mm3 bo'lsa tavsiya etiladi; virus yuklamasi 100 000 nusxa/ml va undan yuqori bo'lsa klinik va immunologik ko'rsatkichlardan qat'i nazar; CD4 ≤350 bo'lgan barcha bemorlarda ustuvor tartibda; JSST 3 yoki 4 klinik bosqichida CD4 darajasidan qat'i nazar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Homilador va emizikli ayollar: klinik bosqich va CD4 sonidan qat'i nazar barcha ayollarda RQT boshlanadi va umrbod davom ettiriladi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Sil/OIV koinfeksiyasi: CD4 sonidan qat'i nazar RQT boshlanadi; avval sil davosi boshlanadi, RQT sil davosining dastlabki 8 haftasi ichida, CD4 50 hujayra/mkl dan kam bo'lsa 2 hafta ichida qo'shiladi [2]. Og'ir surunkali jigar kasalligi belgilari bo'lgan OIV/VGB koinfeksiyasida va serodiskordant juftliklarda ham klinik bosqichdan qat'i nazar tavsiya etiladi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Bolalar va o'smirlar: 18 oydan kichik, OIV taxmin qilingan (ikki marta musbat PZR) barcha bolalarda; 1 yoshgacha barcha chaqaloqlarda; 1–5 yoshda barcha bolalarga ota-onaning roziligi bilan, ustuvor tartibda 3–4 bosqich yoki CD4 ≤750 (&lt;25%) bo'lsa; 5 yoshdan katta bolalarda CD4 ≤350 yoki 3–4 bosqichda ustuvor; 10 yoshdan katta o'smirlarda ota-onaning roziligi bilan klinik-immunologik ko'rsatkichlardan qat'i nazar tavsiya etiladi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bo'yicha ilg'or OIV kasalligi (CD4 &lt;200 yoki 3–4 bosqich, 5 yoshgacha barcha bolalar) alohida e'tiborni talab qiladi, davolash va opportunistik infeksiyalarni oldini olish xizmatlari paketi tavsiya etiladi [1].</w:t>
      </w:r>
    </w:p>
    <w:p>
      <w:pPr>
        <w:spacing w:after="120" w:line="276"/>
        <w:ind w:firstLine="567"/>
        <w:jc w:val="both"/>
      </w:pPr>
      <w:r>
        <w:rPr>
          <w:rFonts w:ascii="Times New Roman" w:cs="Times New Roman" w:eastAsia="Times New Roman" w:hAnsi="Times New Roman"/>
          <w:sz w:val="28"/>
          <w:szCs w:val="28"/>
        </w:rPr>
        <w:t xml:space="preserve">Eslatma: protokoldagi kattalar uchun boshlash mezonlari CD4 darajasiga bog'liq qilib yozilgan (2018 yil); JSSTning joriy tavsiyasi bilan solishtirish kerak. Ushbu fakt kutubxonadagi JSST sahifasida aniq keltirilmagan, shuning uchun hozirgi umumiy tamoyil («barchaga davolash») bo'yicha xulosa tasdiqlanmagan.</w:t>
      </w:r>
    </w:p>
    <w:p>
      <w:pPr>
        <w:pStyle w:val="Heading2"/>
        <w:spacing w:after="100" w:before="200"/>
      </w:pPr>
      <w:r>
        <w:rPr>
          <w:rFonts w:ascii="Times New Roman" w:cs="Times New Roman" w:eastAsia="Times New Roman" w:hAnsi="Times New Roman"/>
          <w:b/>
          <w:bCs/>
          <w:sz w:val="28"/>
          <w:szCs w:val="28"/>
        </w:rPr>
        <w:t xml:space="preserve">ARVT sxemalari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Kattalar: afzal sxema TDF+3TC (yoki FTC)+EFV; alternativ: AZT+3TC+EFV (yoki NVP), TDF+3TC+NVP, TDF+3TC+DTG; maxsus holatlarda ABC va kuchaytirilgan proteaza ingibitorlari (PI) yoki integraza ingibitorlari (II) li sxemalar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Homilador va emizikli ayollar: TDF+3TC (yoki FTC)+EFV afzal; alternativ AZT+3TC+EFV (NVP) yoki TDF+3TC+NVP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3–10 yoshli bolalar: ABC+3TC+EFV; alternativ ABC+3TC+NVP, AZT+3TC+EFV (NVP); 3 yoshgacha – LPV/r asosidagi sxema (ABC yoki AZT+3TC+LPV/r), LPV/r mavjud bo'lmasa NVP asosida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Nazorat: ART qabul qiluvchilarda CD4 va virus yuklamasi muntazam kuzatiladi; ART dozasi vazn o'zgarishiga qarab tuzatiladi; sodiqlik (adherence) muhim [2]. Immun tiklanish yallig'lanish sindromi (ITYaS) CD4 past (&lt;50) va tarqalgan opportunistik infeksiyalarda ehtimoli yuqori, BCG bilan bog'liq ITYaS chaqaloqlarda ham bo'lishi mumkin [2].</w:t>
      </w:r>
    </w:p>
    <w:p>
      <w:pPr>
        <w:pStyle w:val="Heading2"/>
        <w:spacing w:after="100" w:before="200"/>
      </w:pPr>
      <w:r>
        <w:rPr>
          <w:rFonts w:ascii="Times New Roman" w:cs="Times New Roman" w:eastAsia="Times New Roman" w:hAnsi="Times New Roman"/>
          <w:b/>
          <w:bCs/>
          <w:sz w:val="28"/>
          <w:szCs w:val="28"/>
        </w:rPr>
        <w:t xml:space="preserve">ARVP: kimga va qachon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OBYuP (onadan bolaga yuqishning oldini olish): ayol RQT olib, chaqaloqqa tug'ilgandan keyingi dastlabki 4 soatda boshlab AZT, 3TC va NVP berilishi (uch komponentli sxema) hamda xavfsiz oziqlantirish. Samarali qo'llanganda yuqish 1–2% gacha pasayadi [2]. Taqdimotda ham OBYuP sxemasi, 6 va 12 haftalik PZR hamda kotrimoksazol profilaktikasi keltirilgan, lekin u eskirgan 88-son buyruqqa tayanadi [5]; Mirtazayev darsligidagi zidovudin monoterapiyasi (xavfni 26% dan 8% gacha kamaytirishi) hozirgi sxemalarga nisbatan eskirgan [6]. Ayol faqat OBYuP maqsadida ARV qabul qilishga rozi bo'lgan «maxsus holat» ham protokolda ko'zda tutilgan (mazmuni ko'chirmada uzilgan, tasdiqlanmagan)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KKP (kontaktdan keyingi profilaktika): kasbiy va nokasbiy xavfli kontaktdan (igna jarohati, shilliq qavatga sachrash, himoyasiz jinsiy aloqa, umumiy shprits) keyin xavfni baholash, ixtiyoriy test va xavf darajasiga qarab qisqa (28 kunlik) ARV kursi; kasbiy kontaktda o'tkir asbob bilan jarohatda yuqish xavfi o'rtacha 0,23%, shilliq qavat orqali 0,09%; kontakt 72 soatdan oshgan bo'lsa ham maslahat va test beriladi; KKP asosiy profilaktika strategiyasi hisoblanmaydi, immunoblot natijasini kutib kechiktirilmaydi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PrEP (ekspozitsiyadan oldingi profilaktika): xavfi yuqori OIV-manfiy kishilarga; JSST tavsiya qilgan usullar – og'iz orqali tenofovir asosli, dapivirin vaginal halqasi, uzoq ta'sir qiluvchi in'ektsion kabotegravir va lenakapavir [1]. Kutubxona hujjatlarida O'zbekistonda PrEP qo'llanish tartibi topilmadi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Kotrimoksazol profilaktikasi: OIV bilan yashovchi onalardan tug'ilgan bolalarda 5 haftalikdan ikki marta manfiy PZR olingunicha pnevmotsistali zotiljamning oldini olish [2].</w:t>
      </w:r>
    </w:p>
    <w:p>
      <w:pPr>
        <w:pStyle w:val="Heading2"/>
        <w:spacing w:after="100" w:before="200"/>
      </w:pPr>
      <w:r>
        <w:rPr>
          <w:rFonts w:ascii="Times New Roman" w:cs="Times New Roman" w:eastAsia="Times New Roman" w:hAnsi="Times New Roman"/>
          <w:b/>
          <w:bCs/>
          <w:sz w:val="28"/>
          <w:szCs w:val="28"/>
        </w:rPr>
        <w:t xml:space="preserve">Huquqiy va tashkiliy jihatlar</w:t>
      </w:r>
    </w:p>
    <w:p>
      <w:pPr>
        <w:spacing w:after="120" w:line="276"/>
        <w:ind w:firstLine="567"/>
        <w:jc w:val="both"/>
      </w:pPr>
      <w:r>
        <w:rPr>
          <w:rFonts w:ascii="Times New Roman" w:cs="Times New Roman" w:eastAsia="Times New Roman" w:hAnsi="Times New Roman"/>
          <w:sz w:val="28"/>
          <w:szCs w:val="28"/>
        </w:rPr>
        <w:t xml:space="preserve">Qonunga ko'ra tibbiyot xodimlarida xizmat vazifasini bajarishda OIV yuqishi kasb kasalliklari toifasiga kiradi va ularga imtiyozlar beriladi; OIV bilan yashovchilarga maxsus davolash bepul [3]. ART bepul, lekin sodiqlik bilan qabul qilinishi, dori ta'minoti uzilmasligi va ota-ona yoki vasiyning yozma roziligi (bolalarda) muvaffaqiyatning asosiy shartlaridir [2]. Preparatlar ombor hisobi, qaytarish va yo'q qilish tartibi protokolda belgilangan; OBYuP, KKP va MOP uchun olingan preparatlarni DPMlardan qaytarishda yaroqlilik muddati kamida 3 oy qolgan bo'lishi kerak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ARVT – OIV bilan yashovchining o'zini davolash uchun komissiya qarori bilan tayinlanadigan uzluksiz terapiya; ARVP – zararlanmagan shaxsni himoya qiluvchi kurs (OBYuP, KKP, PrEP). Tayinlash vaqti klinik bosqich, CD4, virus yuklamasi, homiladorlik, sil va yoshga qarab belgilanadi; protokoldagi (2018) mezonlar JSSTning joriy tavsiyalari bilan qiyoslanishi lozim.</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Qonuni «OIV infeksiyasi tarqalishiga qarshi kurashish to'g'risida» (LexUZ matni). Manba: xayrullokomilov.uz/kutubxona, material № 198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(OIV infeksiyasini kontaktdan keyingi profilaktikasi) asosida tuzilgan bayonnoma va ijro rejasi. Manba: xayrullokomilov.uz/kutubxona, material № 511 (matn kirill yozuvida; buyruqning o'zi emas, uning ilovalari va ijro hujjatlari).</w:t>
      </w:r>
    </w:p>
    <w:p>
      <w:pPr>
        <w:pStyle w:val="ListParagraph"/>
        <w:numPr>
          <w:ilvl w:val="0"/>
          <w:numId w:val="5"/>
        </w:numPr>
        <w:spacing w:after="80" w:line="260"/>
      </w:pPr>
      <w:r>
        <w:rPr>
          <w:rFonts w:ascii="Times New Roman" w:cs="Times New Roman" w:eastAsia="Times New Roman" w:hAnsi="Times New Roman"/>
          <w:sz w:val="28"/>
          <w:szCs w:val="28"/>
        </w:rPr>
        <w:t xml:space="preserve">Taqdimot: Onadan bolaga OIV infeksiyasini yuqishini oldini olish (ikki tilda), 14- va 23–25-slaydlar. Manba: xayrullokomilov.uz/kutubxona, material № 1384 (ma'lumotlar eskirgan 88-son buyruqqa tayanadi).</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 ma'lumotlar 2009–2013 yillargacha).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141. ARVP va ARVT nima, ular kimga va qachon tayinlanadi</dc:title>
  <dc:creator>Epidemiologiya</dc:creator>
  <cp:lastModifiedBy>Un-named</cp:lastModifiedBy>
  <cp:revision>1</cp:revision>
  <dcterms:created xsi:type="dcterms:W3CDTF">2026-10-30T13:21:19.166Z</dcterms:created>
  <dcterms:modified xsi:type="dcterms:W3CDTF">2026-10-30T13:21:19.166Z</dcterms:modified>
</cp:coreProperties>
</file>

<file path=docProps/custom.xml><?xml version="1.0" encoding="utf-8"?>
<Properties xmlns="http://schemas.openxmlformats.org/officeDocument/2006/custom-properties" xmlns:vt="http://schemas.openxmlformats.org/officeDocument/2006/docPropsVTypes"/>
</file>