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145. OIV infeksiyasiga laboratoriya uslubida tashxis qo'yish tartibi.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infeksiyasiga laboratoriya tashxisi qo'yish tartibi milliy hujjatlarda bosqichma-bosqich belgilangan: tekshiruvga yo'naltirish va maslahat, namunani olish va tashish, birlamchi skrining, musbat natijani tasdiqlash, maxsus guruhlar (donorlar, bolalar) uchun alohida algoritmlar va natijani rasmiylashtirish. Asosiy hujjat — Sog'liqni saqlash vazirining 2021-yil 6-sentabrdagi 219-son buyrug'iga 1 va 2-ilovalar [1]. Mazkur savolda ushbu tartib va uni epidemiyaga qarshi tadbirlar rejasiga bog'lash yoritiladi.</w:t>
      </w:r>
    </w:p>
    <w:p>
      <w:pPr>
        <w:pStyle w:val="Heading2"/>
        <w:spacing w:after="100" w:before="200"/>
      </w:pPr>
      <w:r>
        <w:rPr>
          <w:rFonts w:ascii="Times New Roman" w:cs="Times New Roman" w:eastAsia="Times New Roman" w:hAnsi="Times New Roman"/>
          <w:b/>
          <w:bCs/>
          <w:sz w:val="28"/>
          <w:szCs w:val="28"/>
        </w:rPr>
        <w:t xml:space="preserve">Tekshiruvga yo'naltirish va maslahat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Tekshiruv turlari: ixtiyoriy, majburiy, g'ayriixtiyoriy; shaxsiy tartib bo'yicha — barcha pasport ma'lumotlari bilan yoki anonim; ixtiyoriy tekshiruv anonim bo'lishi mumkin, 18 yoshga to'lmagan bolalarni anonim tekshirish taqiqlanadi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Yo'naltirish uchun barcha tibbiyot muassasalari javobgar; yo'llanma berishi mumkin bo'lgan nomedik tashkilotlar — FHDYo bo'limlari, Migratsiya qo'mitasi, mahalliy o'zini o'zi boshqarish organlari, nodavlat tashkilotlar, xorijiy vakolatxonalar; ularning yo'llanmalari ixtiyoriy shaklda bo'lib, yashash joyidagi poliklinika orqali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Tekshiruvdan oldingi va keyingi maslahat (konsultatsiya) majburiy: manfiy natijada xulq-atvorni xavfsiz tomonga o'zgartirish, kerak bo'lsa yashirin davr hisobga olinib qayta tekshirish; gumon natijada qayta tekshiruvga rag'batlantirish; musbat natijada qo'llab-quvvatlash, davolash va parvarishga o'z vaqtida jalb qilish; maslahatchi shaxsiy fikr va aniq bashoratlar (umr davomiyligi, yuqish vaqti) bermaydi, ma'lumotlar sirini saqlash uchun shaxsan javobgar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Tekshiruv «Odamning immunitet tanqisligi virusiga tibbiy tekshiruvdan o'tkazish qoidalari» (Adliya vazirligida 2584-son bilan 15.05.2014 da ro'yxatga olingan) bo'yicha o'tkaziladi; yo'llanma 2 nusxada to'ldiriladi [1][3].</w:t>
      </w:r>
    </w:p>
    <w:p>
      <w:pPr>
        <w:pStyle w:val="Heading2"/>
        <w:spacing w:after="100" w:before="200"/>
      </w:pPr>
      <w:r>
        <w:rPr>
          <w:rFonts w:ascii="Times New Roman" w:cs="Times New Roman" w:eastAsia="Times New Roman" w:hAnsi="Times New Roman"/>
          <w:b/>
          <w:bCs/>
          <w:sz w:val="28"/>
          <w:szCs w:val="28"/>
        </w:rPr>
        <w:t xml:space="preserve">Namunani olish va yetkazish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imkon qadar och qoringa olinadi; kateter orqali infuziyadan keyin darhol olish taqiqlanadi; shaxs pasport, ID-karta, tug'ilganlik haqidagi guvohnoma yoki harbiy guvohnoma asosida aniqlanadi; yo'llanma va jurnaldagi raqamlar probirka raqamiga mos bo'lishi shart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muolaja xonasida tibbiyot xodimi tomonidan bilak venasidan 5 ml toza quruq probirkaga olinadi; singan probirkalardan foydalanish taqiqlanadi; paxta yoki bint bilan yopish, yo'llanmaga o'rab yuborish mumkin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IFA uchun qon 24 soat ichida laboratoriyaga yetkaziladi, aks holda kamida 1,5 ml zardob +4…+8 °C da saqlanadi; maxsus transportda, buyruq bilan tayinlangan, kamida 3 oy ish stajiga ega kuryer orqali; DPMlar IFA va immunoblot natijalarini 5 kun ichida olib ketishi shart, telefon yoki telegram orqali aytish taqiqlanadi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Hemoliz, xilez, bakteriya o'sishi, noto'g'ri yo'llanma, yetarli bo'lmagan hajm, kechikish — namuna yaroqsiz deb brakeraj jurnaliga qayd etiladi [1].</w:t>
      </w:r>
    </w:p>
    <w:p>
      <w:pPr>
        <w:pStyle w:val="Heading2"/>
        <w:spacing w:after="100" w:before="200"/>
      </w:pPr>
      <w:r>
        <w:rPr>
          <w:rFonts w:ascii="Times New Roman" w:cs="Times New Roman" w:eastAsia="Times New Roman" w:hAnsi="Times New Roman"/>
          <w:b/>
          <w:bCs/>
          <w:sz w:val="28"/>
          <w:szCs w:val="28"/>
        </w:rPr>
        <w:t xml:space="preserve">Kattalarda tekshiruv algoritmi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Birlamchi skrining IFA (3–4-avlod) yoki tezkor test bilan; bir lunkada (yoki tezkor usulda) manfiy natija — «manfiy», tekshiruv to'xtatiladi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Anonim, doimiy yashash joyi yo'q shaxslar va «D» nazoratdagilar namunasida musbat natijada tekshiruv to'xtatiladi va yo'llanmaga «IFA musbat» yoziladi; qolgan musbat namunalar ikki lunkada qayta tekshiriladi: ikkalasida manfiy — «manfiy»; musbat — yo'llanmaga «ikkinchi qon namunasi takror olinsin» yoziladi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Ikkinchi namuna DPMda komissiya (kamida 3 tibbiyot xodimi) ishtirokida pasport ma'lumotlari bo'yicha olinadi, 5 kun ichida tasdiqlash uchun hududiy OITS markaziga 2-shakl yo'llanmasi bilan yuboriladi; birinchi va ikkinchi zardoblar minus 20 °C da saqlanadi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Tasdiqlash hududiy OITS markazlari laboratoriyalarida: IFA/IXLA musbat zardoblar tasdiqlovchi test yoki immunoblot bilan tekshiriladi, «seropozitiv» deb 4-shaklga kiritiladi, immunoblot bayonnomasi 3-shaklda qayd etiladi; immunoblot musbat bo'lsa, tashxis tasdiqlanadi; gumon natijada dispanser bo'limi algoritm asosida shaxsni to'liq qayta tekshiradi; ikki marta gumon natijada PCR qo'llanadi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Donor qoni: 4-avlod IFA; bitta lunkada musbat natija qayta tekshirilmaydi, qon yo'q qilinadi, shaxs donorlikdan chetlatiladi; komissiya orqali ikkinchi namuna olinadi [1].</w:t>
      </w:r>
    </w:p>
    <w:p>
      <w:pPr>
        <w:pStyle w:val="Heading2"/>
        <w:spacing w:after="100" w:before="200"/>
      </w:pPr>
      <w:r>
        <w:rPr>
          <w:rFonts w:ascii="Times New Roman" w:cs="Times New Roman" w:eastAsia="Times New Roman" w:hAnsi="Times New Roman"/>
          <w:b/>
          <w:bCs/>
          <w:sz w:val="28"/>
          <w:szCs w:val="28"/>
        </w:rPr>
        <w:t xml:space="preserve">Bolalarda tashxis</w:t>
      </w:r>
    </w:p>
    <w:p>
      <w:pPr>
        <w:spacing w:after="120" w:line="276"/>
        <w:ind w:firstLine="567"/>
        <w:jc w:val="both"/>
      </w:pPr>
      <w:r>
        <w:rPr>
          <w:rFonts w:ascii="Times New Roman" w:cs="Times New Roman" w:eastAsia="Times New Roman" w:hAnsi="Times New Roman"/>
          <w:sz w:val="28"/>
          <w:szCs w:val="28"/>
        </w:rPr>
        <w:t xml:space="preserve">Onasining OIV maqomi noma'lum bolalar kattalardagi kabi tekshiriladi; bola IFA/tezkor testda musbat bo'lsa, onasi ham tekshiriladi, onada tasdiqlansa 18 oygacha bolalar vertikal yuqish algoritmi bilan kuzatiladi [1]. 18 oygacha bo'lgan bolalarda tashxis «oltin standarti» — provirus DNKni PCR bilan aniqlash; 6–8 hafta va 12 haftalikda, kerak bo'lsa 1 haftalikda; kindik qonidan foydalanilmaydi; musbat natija bir xil usulda 5–7 kun ichida tasdiqlanadi; ikki marta musbat PCR bolada infeksiyani bildiradi; 6 va 12 haftalikda ikki marta manfiy PCR (emizilmagan bolada) infeksiya yuqmaganini bildiradi; manfiy PCR bo'lsa 18 oyligida serokonversiyani aniqlash uchun IFA o'tkaziladi [4].</w:t>
      </w:r>
    </w:p>
    <w:p>
      <w:pPr>
        <w:pStyle w:val="Heading2"/>
        <w:spacing w:after="100" w:before="200"/>
      </w:pPr>
      <w:r>
        <w:rPr>
          <w:rFonts w:ascii="Times New Roman" w:cs="Times New Roman" w:eastAsia="Times New Roman" w:hAnsi="Times New Roman"/>
          <w:b/>
          <w:bCs/>
          <w:sz w:val="28"/>
          <w:szCs w:val="28"/>
        </w:rPr>
        <w:t xml:space="preserve">Bolalarda PCR sezgirligi va emizikli bolalar</w:t>
      </w:r>
    </w:p>
    <w:p>
      <w:pPr>
        <w:spacing w:after="120" w:line="276"/>
        <w:ind w:firstLine="567"/>
        <w:jc w:val="both"/>
      </w:pPr>
      <w:r>
        <w:rPr>
          <w:rFonts w:ascii="Times New Roman" w:cs="Times New Roman" w:eastAsia="Times New Roman" w:hAnsi="Times New Roman"/>
          <w:sz w:val="28"/>
          <w:szCs w:val="28"/>
        </w:rPr>
        <w:t xml:space="preserve">Provirus DNK PCR sezgirligi yoshga qarab ortadi: tug'ilgandan 48 soat o'tgach taxminan 38%, hayotning ikkinchi haftasi oxirida (14–15 kun) 95–98%, 3 oyga kelib deyarli 100%; hayotning dastlabki 48 soatida musbat natija bola bachadon ichida yuqtirganini, shu davrda manfiy, keyin musbat natija esa yuqish tug'ish paytida sodir bo'lganini ko'rsatadi [4]. Emizikli bolalarda virologik tekshiruv istalgan vaqtda mumkin, manfiy bo'lsa emizish to'liq to'xtatilgandan keyin 6 haftagacha takrorlanadi [4].</w:t>
      </w:r>
    </w:p>
    <w:p>
      <w:pPr>
        <w:pStyle w:val="Heading2"/>
        <w:spacing w:after="100" w:before="200"/>
      </w:pPr>
      <w:r>
        <w:rPr>
          <w:rFonts w:ascii="Times New Roman" w:cs="Times New Roman" w:eastAsia="Times New Roman" w:hAnsi="Times New Roman"/>
          <w:b/>
          <w:bCs/>
          <w:sz w:val="28"/>
          <w:szCs w:val="28"/>
        </w:rPr>
        <w:t xml:space="preserve">Munozarali holatlar va epidemiologik tadbirlarga bog'lash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Tashxisga ishonmagan shaxs hududiy markazda komissiya (epidemiolog, infeksionist, vrach-laborant) ishtirokida qayta tekshiriladi, kerak bo'lsa sifat va miqdoriy PCR; musbat natijada tashxis tasdiqlanadi; manfiy bo'lsa, komissiya klinik va epidemiologik ko'rsatmalarga ko'ra ro'yxatdan chiqarish masalasini hal qiladi, ma'lumotnoma beriladi va farq sabablari o'rganiladi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Tasdiqlangan natija bo'yicha 1-shakldagi xabarnoma, dispanser nazorati va epidemiologik surishtiruv boshlanadi (141-mavzu)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Laboratoriyalar ustidan nazorat: brigada usulida ishlash, tashqi sifat nazoratini 2 yilda 1 marta o'tkazish, tasdiqlovchi laboratoriyalarda namunalarni bir yilgacha minus 20–70 °C da saqlash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Rejalashtirish: tekshiruv qamrovini oshirish (xavf guruhlari, homiladorlar, indikator kasalliklar), laboratoriyalarni diagnostikumlar bilan ta'minlash, kadrlarni o'qitish, bolalar uchun PCR rejasi [1][5].</w:t>
      </w:r>
    </w:p>
    <w:p>
      <w:pPr>
        <w:pStyle w:val="Heading2"/>
        <w:spacing w:after="100" w:before="200"/>
      </w:pPr>
      <w:r>
        <w:rPr>
          <w:rFonts w:ascii="Times New Roman" w:cs="Times New Roman" w:eastAsia="Times New Roman" w:hAnsi="Times New Roman"/>
          <w:b/>
          <w:bCs/>
          <w:sz w:val="28"/>
          <w:szCs w:val="28"/>
        </w:rPr>
        <w:t xml:space="preserve">Maxfiylik va hujjatlashtirish</w:t>
      </w:r>
    </w:p>
    <w:p>
      <w:pPr>
        <w:spacing w:after="120" w:line="276"/>
        <w:ind w:firstLine="567"/>
        <w:jc w:val="both"/>
      </w:pPr>
      <w:r>
        <w:rPr>
          <w:rFonts w:ascii="Times New Roman" w:cs="Times New Roman" w:eastAsia="Times New Roman" w:hAnsi="Times New Roman"/>
          <w:sz w:val="28"/>
          <w:szCs w:val="28"/>
        </w:rPr>
        <w:t xml:space="preserve">Tasdiqlangan holatlar bo'yicha ma'lumot vrachlik siri hisoblanadi; SanPiN 0187-05 bo'yicha natijalar yashash, ish va o'qish joyiga, harbiy xizmat va ozodlikdan mahrum qilish joyiga xabar qilinmaydi, tasdiqlangan bemorlar raqamli shifr bilan belgilanadi [3]. Barcha musbat namunalar IFA bo'yicha maxsus ro'yxatga olish jurnalida qayd etiladi, yaroqsiz qonlar esa alohida shakldagi brakeraj jurnalida ro'yxatga olinib, laboratoriyada zararsizlantiriladi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infeksiyasiga laboratoriya tashxisi qo'yishda maslahat, namunani to'g'ri olish, bosqichli skrining va tasdiqlash, bolalar uchun PCR, hamda natijani maxfiy rasmiylashtirish asosiy shartlardir. Tartibning ayrim detallari (masalan, tezkor test turlari va qo'llash qoidalari) o'zgarishi mumkinligi sababli amaldagi rasmiy tahrir tekshirilishi kerak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buyrug'iga 1 va 2-ilovalar.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13–16-moddalar.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Sanitariya qoidalari va me'yorlari SanPiN № 0187-05. Manba: xayrullokomilov.uz/kutubxona, material № 610 (rus tilida, OCR sifati past).</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30-apreldagi 277-son buyrug'i: milliy klinik protokol (bolalarda OIV diagnostikasi). Manba: xayrullokomilov.uz/kutubxona, material № 465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145. OIV infeksiyasiga laboratoriya uslubida tashxis qo'yish tartibi. Epidemiyaga qarshi chora-tadbirlarni rejalashtirish</dc:title>
  <dc:creator>Epidemiologiya</dc:creator>
  <cp:lastModifiedBy>Un-named</cp:lastModifiedBy>
  <cp:revision>1</cp:revision>
  <dcterms:created xsi:type="dcterms:W3CDTF">2026-10-30T07:00:06.700Z</dcterms:created>
  <dcterms:modified xsi:type="dcterms:W3CDTF">2026-10-30T07:00:06.701Z</dcterms:modified>
</cp:coreProperties>
</file>

<file path=docProps/custom.xml><?xml version="1.0" encoding="utf-8"?>
<Properties xmlns="http://schemas.openxmlformats.org/officeDocument/2006/custom-properties" xmlns:vt="http://schemas.openxmlformats.org/officeDocument/2006/docPropsVTypes"/>
</file>