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sz w:val="28"/>
          <w:szCs w:val="28"/>
        </w:rPr>
        <w:t xml:space="preserve">117. Exinokokkozning epidemiologiyasi va profilaktikasi</w:t>
      </w:r>
    </w:p>
    <w:p>
      <w:pPr>
        <w:pStyle w:val="Heading2"/>
        <w:spacing w:after="100" w:before="200"/>
      </w:pPr>
      <w:r>
        <w:rPr>
          <w:rFonts w:ascii="Times New Roman" w:cs="Times New Roman" w:eastAsia="Times New Roman" w:hAnsi="Times New Roman"/>
          <w:b/>
          <w:bCs/>
          <w:sz w:val="28"/>
          <w:szCs w:val="28"/>
        </w:rPr>
        <w:t xml:space="preserve">Kirish</w:t>
      </w:r>
    </w:p>
    <w:p>
      <w:pPr>
        <w:spacing w:after="120" w:line="276"/>
        <w:ind w:firstLine="567"/>
        <w:jc w:val="both"/>
      </w:pPr>
      <w:r>
        <w:rPr>
          <w:rFonts w:ascii="Times New Roman" w:cs="Times New Roman" w:eastAsia="Times New Roman" w:hAnsi="Times New Roman"/>
          <w:sz w:val="28"/>
          <w:szCs w:val="28"/>
        </w:rPr>
        <w:t xml:space="preserve">Exinokokkoz (Echinococcus granulosus qo'zg'atadigan kasallik) – ba'zi sut emizuvchi hayvonlar va odamlarda uchraydigan, og'iz orqali yuqadigan, asosan jigar, o'pka, taloq kabi parenximatoz organlarni zararlaydigan surunkali parazitar zooantroponoz. O'quv-uslubiy qo'llanmada qo'zg'atuvchi Taeniidae oilasiga kiruvchi sestodalarning lichinka bosqichi sifatida ta'riflangan [1]. JSST exinokokkozning to'rt shaklini ajratadi: kistoz (E. granulosus), alveolyar (E. multilocularis) va ikki neotropik shakl (E. vogeli, E. oligarthrus); tibbiy ahamiyatga ega asosiylari – kistoz va alveolyar exinokokkoz [3]. O'zbekiston exinokokkoz bo'yicha endemik hudud hisoblanadi [1].</w:t>
      </w:r>
    </w:p>
    <w:p>
      <w:pPr>
        <w:pStyle w:val="Heading2"/>
        <w:spacing w:after="100" w:before="200"/>
      </w:pPr>
      <w:r>
        <w:rPr>
          <w:rFonts w:ascii="Times New Roman" w:cs="Times New Roman" w:eastAsia="Times New Roman" w:hAnsi="Times New Roman"/>
          <w:b/>
          <w:bCs/>
          <w:sz w:val="28"/>
          <w:szCs w:val="28"/>
        </w:rPr>
        <w:t xml:space="preserve">Epidemik jarayon bo'g'inlari</w:t>
      </w:r>
    </w:p>
    <w:p>
      <w:pPr>
        <w:pStyle w:val="ListParagraph"/>
        <w:numPr>
          <w:ilvl w:val="0"/>
          <w:numId w:val="2"/>
        </w:numPr>
        <w:spacing w:after="60" w:line="276"/>
        <w:jc w:val="both"/>
      </w:pPr>
      <w:r>
        <w:rPr>
          <w:rFonts w:ascii="Times New Roman" w:cs="Times New Roman" w:eastAsia="Times New Roman" w:hAnsi="Times New Roman"/>
          <w:sz w:val="28"/>
          <w:szCs w:val="28"/>
        </w:rPr>
        <w:t xml:space="preserve">Hayot sikli: voyaga yetgan gijja (uzunligi 5 mm gacha) yakuniy xo'jayin – itlar oilasi vakillarining ingichka ichagida 5–20 oy yashaydi; 500–800 tuxum saqlovchi yetilgan bo'g'imlar najas bilan ajraladi. Tuxumlar zararlanishdan 4–12 haftadan keyin ajrala boshlaydi. Oraliq xo'jayinlar – 70 dan ortiq tur sut emizuvchilar, shu jumladan qishloq xo'jaligi hayvonlari [1]. JSST bo'yicha yuqumli genotip asosan it–qo'y–it siklida saqlanadi [3].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Manba – birinchi navbatda jinsiy yetilgan gelmintlar bilan zararlangan itlar (daydi va qo'ra qo'riqlovchi itlar); it bir marta zararlanib, 2–3 yil davomida manba bo'lib qolishi mumkin. Boshqa yirtqichlar kamroq ahamiyatga ega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Odam – tasodifiy (fakultativ) oraliq xo'jayin: qo'zg'atuvchi aylanishiga ta'sir qilmaydi va epidemiologik xavf tug'dirmaydi. Biroq jarrohlik yo'li bilan olingan kistali organlar chiqindiga tashlansa, itlar yeb zararlanishi tasvirlangan [1][3].</w:t>
      </w:r>
    </w:p>
    <w:p>
      <w:pPr>
        <w:pStyle w:val="ListParagraph"/>
        <w:numPr>
          <w:ilvl w:val="0"/>
          <w:numId w:val="2"/>
        </w:numPr>
        <w:spacing w:after="60" w:line="276"/>
        <w:jc w:val="both"/>
      </w:pPr>
      <w:r>
        <w:rPr>
          <w:rFonts w:ascii="Times New Roman" w:cs="Times New Roman" w:eastAsia="Times New Roman" w:hAnsi="Times New Roman"/>
          <w:sz w:val="28"/>
          <w:szCs w:val="28"/>
        </w:rPr>
        <w:t xml:space="preserve">Yuqish mexanizmi fekal-oral. Odam tuxumlarni it bilan muloqotda (jun, qo'l orqali), yuvilmagan meva-sabzavot, ko'kat, suv va tashqi muhit buyumlaridan og'iz orqali yuqtiradi; qo'llanmada nafas yo'llari va ochiq jarohat orqali zararlanish ham tilga olingan [1][4]. Pashsha va qo'ng'izlar hamda qushlar mexanik tashuvchi bo'lishi mumkin [1].</w:t>
      </w:r>
    </w:p>
    <w:p>
      <w:pPr>
        <w:pStyle w:val="ListParagraph"/>
        <w:numPr>
          <w:ilvl w:val="0"/>
          <w:numId w:val="2"/>
        </w:numPr>
        <w:spacing w:after="60" w:line="276"/>
        <w:jc w:val="both"/>
      </w:pPr>
      <w:r>
        <w:rPr>
          <w:rFonts w:ascii="Times New Roman" w:cs="Times New Roman" w:eastAsia="Times New Roman" w:hAnsi="Times New Roman"/>
          <w:sz w:val="28"/>
          <w:szCs w:val="28"/>
        </w:rPr>
        <w:t xml:space="preserve">Tuxumlarning chidamliligi: namli tuproqda 30 °C da uch hafta, 10–20 °C da bir oyga yaqin, 6 °C da yarim yilgacha jonchan; quyosh nuri va quruq sharoitda tez nobud bo'ladi [1]. Itlarda tuxum ajralishi qishda to'xtab, bahorda kuchayadi [2].</w:t>
      </w:r>
    </w:p>
    <w:p>
      <w:pPr>
        <w:pStyle w:val="Heading2"/>
        <w:spacing w:after="100" w:before="200"/>
      </w:pPr>
      <w:r>
        <w:rPr>
          <w:rFonts w:ascii="Times New Roman" w:cs="Times New Roman" w:eastAsia="Times New Roman" w:hAnsi="Times New Roman"/>
          <w:b/>
          <w:bCs/>
          <w:sz w:val="28"/>
          <w:szCs w:val="28"/>
        </w:rPr>
        <w:t xml:space="preserve">Epidemiologik ko'rsatkichlar va xavf guruhlari</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JSST ma'lumotlariga ko'ra, kistoz exinokokkoz Antarktidadan boshqa barcha qit'alarda uchraydi; endemik hududlarda yillik kasallanish 100 000 aholiga 50 dan oshishi mumkin, Markaziy Osiyoning ayrim hududlarida zararlanish darajasi 5–10% gacha yetishi mumkin. Dunyoda bir vaqtning o'zida 1 milliondan ortiq kishi shu kasalliklar bilan yashashi mumkin; JSST giperendemik hudud sifatida yiliga 100 000 aholiga 5 holatni belgilagan [3].</w:t>
      </w:r>
    </w:p>
    <w:p>
      <w:pPr>
        <w:pStyle w:val="ListParagraph"/>
        <w:numPr>
          <w:ilvl w:val="0"/>
          <w:numId w:val="3"/>
        </w:numPr>
        <w:spacing w:after="60" w:line="276"/>
        <w:jc w:val="both"/>
      </w:pPr>
      <w:r>
        <w:rPr>
          <w:rFonts w:ascii="Times New Roman" w:cs="Times New Roman" w:eastAsia="Times New Roman" w:hAnsi="Times New Roman"/>
          <w:sz w:val="28"/>
          <w:szCs w:val="28"/>
        </w:rPr>
        <w:t xml:space="preserve">O'zbekistonda rasmiy ma'lumotlarga ko'ra zararlanish 100 000 aholiga 6–9 kishini tashkil etadi, yiliga 1000–1500 jarrohlik amaliyoti o'tkaziladi [1]. 2006 yilda 7 649 651 kishi gelmintozga tekshirilib, 3,5% da gelmintoz topilgan, ular orasida exinokokkoz 5,7% ni tashkil etgan; 85% hollarda jigar va o'pka zararlanadi, o'lim 2–5%, operatsiyadan keyingi asoratlar 20–30% (qo'llanma ma'lumoti) [1]. JSST bo'yicha operatsiyadan keyingi o'lim o'rtacha 2,2%, qaytalanish 6,5% [3]. Raqamlar turli davr va usullarga tegishli, to'g'ridan-to'g'ri solishtirib bo'lmaydi (muallif xulosasi, tasdiqlanmagan).</w:t>
      </w:r>
    </w:p>
    <w:p>
      <w:pPr>
        <w:pStyle w:val="ListParagraph"/>
        <w:numPr>
          <w:ilvl w:val="0"/>
          <w:numId w:val="3"/>
        </w:numPr>
        <w:spacing w:after="60" w:line="276"/>
        <w:jc w:val="both"/>
      </w:pPr>
      <w:r>
        <w:rPr>
          <w:rFonts w:ascii="Times New Roman" w:cs="Times New Roman" w:eastAsia="Times New Roman" w:hAnsi="Times New Roman"/>
          <w:sz w:val="28"/>
          <w:szCs w:val="28"/>
        </w:rPr>
        <w:t xml:space="preserve">Hayvonlar orasida zararlanish: qo'llanmada keltirilgan Aminjonov (2003) ma'lumoti bo'yicha qoramollarda 46,2%, qo'ylarda 65,0%, echkilarda 12,0%, tuyalarda 35,0%, eshaklarda 38,2%, itlarda 24,3%; 1990 yildagi ko'rsatkichlar (qo'ylarda 45,1%, itlarda 15%) o'sishni ko'rsatadi. Bu eski tadqiqot natijalari bo'lib, joriy holatni aks ettirmasligi mumkin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Xavf guruhlari: chorvadorlar, cho'ponlar, ovchilar, momiq tayyorlovchilar, mo'yna sexi ishchilari va ularning oilalari, veterinariya xodimlari, it egalari, shuningdek avval exinokokkoz bo'yicha operatsiya qilinganlar [2]. Kasallik 20–40 yoshlarda ko'proq (barcha holatlarning taxminan 3/4 qismi) uchraydi; ijtimoiy-iqtisodiy darajasi past, chorvachiligi rivojlangan hududlarda kasallanish yuqori [1].</w:t>
      </w:r>
    </w:p>
    <w:p>
      <w:pPr>
        <w:pStyle w:val="ListParagraph"/>
        <w:numPr>
          <w:ilvl w:val="0"/>
          <w:numId w:val="3"/>
        </w:numPr>
        <w:spacing w:after="60" w:line="276"/>
        <w:jc w:val="both"/>
      </w:pPr>
      <w:r>
        <w:rPr>
          <w:rFonts w:ascii="Times New Roman" w:cs="Times New Roman" w:eastAsia="Times New Roman" w:hAnsi="Times New Roman"/>
          <w:sz w:val="28"/>
          <w:szCs w:val="28"/>
        </w:rPr>
        <w:t xml:space="preserve">Jarayonga ta'sir etuvchi omillar: itlarni parvarish qilish madaniyati pastligi, it najasining zararsizlantirilmasligi, qushxona va so'yish joylarida kasallangan organlarning yo'q qilinmasligi, sanitariya-madaniyat darajasi [1][3].</w:t>
      </w:r>
    </w:p>
    <w:p>
      <w:pPr>
        <w:pStyle w:val="Heading2"/>
        <w:spacing w:after="100" w:before="200"/>
      </w:pPr>
      <w:r>
        <w:rPr>
          <w:rFonts w:ascii="Times New Roman" w:cs="Times New Roman" w:eastAsia="Times New Roman" w:hAnsi="Times New Roman"/>
          <w:b/>
          <w:bCs/>
          <w:sz w:val="28"/>
          <w:szCs w:val="28"/>
        </w:rPr>
        <w:t xml:space="preserve">Tashxis va epidemiologik nazorat</w:t>
      </w:r>
    </w:p>
    <w:p>
      <w:pPr>
        <w:pStyle w:val="ListParagraph"/>
        <w:numPr>
          <w:ilvl w:val="0"/>
          <w:numId w:val="4"/>
        </w:numPr>
        <w:spacing w:after="60" w:line="276"/>
        <w:jc w:val="both"/>
      </w:pPr>
      <w:r>
        <w:rPr>
          <w:rFonts w:ascii="Times New Roman" w:cs="Times New Roman" w:eastAsia="Times New Roman" w:hAnsi="Times New Roman"/>
          <w:sz w:val="28"/>
          <w:szCs w:val="28"/>
        </w:rPr>
        <w:t xml:space="preserve">Tashxis: odamda ultratovush tekshiruvi tanlov usuli hisoblanadi, KT va MRT bilan to'ldiriladi; serologik testlar tashxisni qo'llab-quvvatlaydi [3]. Milliy yo'riqnomada xavf ostidagi aholini har yili IFA bilan serologik tekshirish ko'zda tutilgan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Har bir holat bo'yicha shifokor shoshilinch xabarnoma (058/u shakli) yuboradi; DSENM parazitologlari veterinariya xodimlari ishtirokida epidemiologik tekshiruv o'tkazadi va natija 357/u shaklidagi epidemik o'choqni tekshirish kartasiga kiritiladi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Retrospektiv tahlil: kasalxona hujjatlari (kasallik tarixi, ambulator kartalar, operatsiya jurnallari, biopsiya va autopsiya natijalari), operatsiyalar soni, nogironlik, o'lim, iqtisodiy zarar o'rganiladi; parazitar kasalliklar nazoratida kamida 5 yillik ma'lumotlar tahlil qilinadi [2][5].</w:t>
      </w:r>
    </w:p>
    <w:p>
      <w:pPr>
        <w:pStyle w:val="ListParagraph"/>
        <w:numPr>
          <w:ilvl w:val="0"/>
          <w:numId w:val="4"/>
        </w:numPr>
        <w:spacing w:after="60" w:line="276"/>
        <w:jc w:val="both"/>
      </w:pPr>
      <w:r>
        <w:rPr>
          <w:rFonts w:ascii="Times New Roman" w:cs="Times New Roman" w:eastAsia="Times New Roman" w:hAnsi="Times New Roman"/>
          <w:sz w:val="28"/>
          <w:szCs w:val="28"/>
        </w:rPr>
        <w:t xml:space="preserve">Sanitariya-gelmintologik nazorat: o'choqda tuproq, ko'kat, sabzavot, suv va surtmalar tekshiriladi (bitta ob'ektdan 25 surtma, 4 tuproq, 4 sabzavot, 4 ko'kat, 4 suv namunasi); namunalar 24 soat ichida, tuproq +4 °C da 3 kun saqlansa ham tekshiriladi [2].</w:t>
      </w:r>
    </w:p>
    <w:p>
      <w:pPr>
        <w:pStyle w:val="ListParagraph"/>
        <w:numPr>
          <w:ilvl w:val="0"/>
          <w:numId w:val="4"/>
        </w:numPr>
        <w:spacing w:after="60" w:line="276"/>
        <w:jc w:val="both"/>
      </w:pPr>
      <w:r>
        <w:rPr>
          <w:rFonts w:ascii="Times New Roman" w:cs="Times New Roman" w:eastAsia="Times New Roman" w:hAnsi="Times New Roman"/>
          <w:sz w:val="28"/>
          <w:szCs w:val="28"/>
        </w:rPr>
        <w:t xml:space="preserve">Veterinariya nazorati: chorva so'yilishi, qushxonalarning sanitariya holati, zararlangan organlarni yo'q qilish, o'lgan hayvonlar va egasiz itlarni hisobga olish [2].</w:t>
      </w:r>
    </w:p>
    <w:p>
      <w:pPr>
        <w:pStyle w:val="Heading2"/>
        <w:spacing w:after="100" w:before="200"/>
      </w:pPr>
      <w:r>
        <w:rPr>
          <w:rFonts w:ascii="Times New Roman" w:cs="Times New Roman" w:eastAsia="Times New Roman" w:hAnsi="Times New Roman"/>
          <w:b/>
          <w:bCs/>
          <w:sz w:val="28"/>
          <w:szCs w:val="28"/>
        </w:rPr>
        <w:t xml:space="preserve">Profilaktika va epidemiyaga qarshi tadbirlar</w:t>
      </w:r>
    </w:p>
    <w:p>
      <w:pPr>
        <w:pStyle w:val="ListParagraph"/>
        <w:numPr>
          <w:ilvl w:val="0"/>
          <w:numId w:val="5"/>
        </w:numPr>
        <w:spacing w:after="60" w:line="276"/>
        <w:jc w:val="both"/>
      </w:pPr>
      <w:r>
        <w:rPr>
          <w:rFonts w:ascii="Times New Roman" w:cs="Times New Roman" w:eastAsia="Times New Roman" w:hAnsi="Times New Roman"/>
          <w:sz w:val="28"/>
          <w:szCs w:val="28"/>
        </w:rPr>
        <w:t xml:space="preserve">Itlarni davriy degelmintizatsiya qilish: JSST yiliga kamida 4 marta prazikvantel berishni tavsiya etadi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Qushxonalarda gigiena, zararlangan ichki organlarni to'g'ri yo'q qilish, itlarga xom ichki organ bermaslik [3].</w:t>
      </w:r>
    </w:p>
    <w:p>
      <w:pPr>
        <w:pStyle w:val="ListParagraph"/>
        <w:numPr>
          <w:ilvl w:val="0"/>
          <w:numId w:val="5"/>
        </w:numPr>
        <w:spacing w:after="60" w:line="276"/>
        <w:jc w:val="both"/>
      </w:pPr>
      <w:r>
        <w:rPr>
          <w:rFonts w:ascii="Times New Roman" w:cs="Times New Roman" w:eastAsia="Times New Roman" w:hAnsi="Times New Roman"/>
          <w:sz w:val="28"/>
          <w:szCs w:val="28"/>
        </w:rPr>
        <w:t xml:space="preserve">Qo'ylarni recombinant EG95 antigeni bilan emlash: Xitoy va Argentinada ro'yxatdan o'tgan; qo'zilarni emlash, itlarni degelmintizatsiya qilish va keksa qo'ylarni chiqarish dasturi 10 yildan kamroq vaqtda odamlardagi kasallikni yo'q qilishga olib kelishi mumkin [3]. O'zbekistonda bu emning qo'llanilishi to'g'risida tasdiqlangan ma'lumot topilmadi (tasdiqlanmagan).</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Shaxsiy gigiena: it va hayvonlar bilan muloqotdan keyin qo'l yuvish, meva-sabzavot va ko'katni yuvish, qaynatilgan suv ichish; bolalarga gigiena ko'nikmalarini o'rgatish [1][4].</w:t>
      </w:r>
    </w:p>
    <w:p>
      <w:pPr>
        <w:pStyle w:val="ListParagraph"/>
        <w:numPr>
          <w:ilvl w:val="0"/>
          <w:numId w:val="5"/>
        </w:numPr>
        <w:spacing w:after="60" w:line="276"/>
        <w:jc w:val="both"/>
      </w:pPr>
      <w:r>
        <w:rPr>
          <w:rFonts w:ascii="Times New Roman" w:cs="Times New Roman" w:eastAsia="Times New Roman" w:hAnsi="Times New Roman"/>
          <w:sz w:val="28"/>
          <w:szCs w:val="28"/>
        </w:rPr>
        <w:t xml:space="preserve">Sanitariya-ma'rifiy ishlar: kinofilm, plakat, eslatmalar; kasallanish darajasi aholining bilim darajasiga teskari bog'liq [1][2].</w:t>
      </w:r>
    </w:p>
    <w:p>
      <w:pPr>
        <w:pStyle w:val="ListParagraph"/>
        <w:numPr>
          <w:ilvl w:val="0"/>
          <w:numId w:val="5"/>
        </w:numPr>
        <w:spacing w:after="60" w:line="276"/>
        <w:jc w:val="both"/>
      </w:pPr>
      <w:r>
        <w:rPr>
          <w:rFonts w:ascii="Times New Roman" w:cs="Times New Roman" w:eastAsia="Times New Roman" w:hAnsi="Times New Roman"/>
          <w:sz w:val="28"/>
          <w:szCs w:val="28"/>
        </w:rPr>
        <w:t xml:space="preserve">Bemorlar dispanserizatsiyasi: operatsiya qilinganlar yiliga 1–2 marta tekshiriladi (qon, biokimyo, serologiya, ko'krak qafasi rentgeni, jigar exografiyasi); qaytalanishga qarshi albendazol 1 oy tayinlanadi; klinik belgilarsiz va serologik reaksiya 5 yil manfiy bo'lsa hisobdan chiqarilishi mumkin; alveokokkozda umrbod dispanser kuzatuvi [2].</w:t>
      </w:r>
    </w:p>
    <w:p>
      <w:pPr>
        <w:pStyle w:val="Heading2"/>
        <w:spacing w:after="100" w:before="200"/>
      </w:pPr>
      <w:r>
        <w:rPr>
          <w:rFonts w:ascii="Times New Roman" w:cs="Times New Roman" w:eastAsia="Times New Roman" w:hAnsi="Times New Roman"/>
          <w:b/>
          <w:bCs/>
          <w:sz w:val="28"/>
          <w:szCs w:val="28"/>
        </w:rPr>
        <w:t xml:space="preserve">Xulosa</w:t>
      </w:r>
    </w:p>
    <w:p>
      <w:pPr>
        <w:spacing w:after="120" w:line="276"/>
        <w:ind w:firstLine="567"/>
        <w:jc w:val="both"/>
      </w:pPr>
      <w:r>
        <w:rPr>
          <w:rFonts w:ascii="Times New Roman" w:cs="Times New Roman" w:eastAsia="Times New Roman" w:hAnsi="Times New Roman"/>
          <w:sz w:val="28"/>
          <w:szCs w:val="28"/>
        </w:rPr>
        <w:t xml:space="preserve">Exinokokkoz it–qo'y–it sikli bilan saqlanadigan zooantroponoz bo'lib, odam epidemik zanjirning boshi berk bo'g'ini hisoblanadi, shuning uchun kasallikni nazorat qilishning asosi hayvonlar bo'g'iniga qaratilgan tadbirlardir: itlarni degelmintizatsiya qilish, so'yish joylarida gigiena, hayvonlarni emlash va aholini o'qitish. Tibbiyot xizmati xavf guruhlarini serologik tekshiradi, holatlarni xabar qiladi, epidemiologik tekshiruv o'tkazadi va operatsiya qilinganlarni dispanser kuzatuvida saqlaydi. O'zbekiston bo'yicha raqamlar eskirgan va manbalar orasida farq bor, shu sababli ularni joriy rasmiy statistika bilan solishtirish zarur.</w:t>
      </w:r>
    </w:p>
    <w:p>
      <w:pPr>
        <w:pStyle w:val="Heading2"/>
        <w:spacing w:after="100" w:before="280"/>
      </w:pPr>
      <w:r>
        <w:rPr>
          <w:rFonts w:ascii="Times New Roman" w:cs="Times New Roman" w:eastAsia="Times New Roman" w:hAnsi="Times New Roman"/>
          <w:b/>
          <w:bCs/>
          <w:sz w:val="28"/>
          <w:szCs w:val="28"/>
        </w:rPr>
        <w:t xml:space="preserve">Foydalanilgan adabiyotlar</w:t>
      </w:r>
    </w:p>
    <w:p>
      <w:pPr>
        <w:pStyle w:val="ListParagraph"/>
        <w:numPr>
          <w:ilvl w:val="0"/>
          <w:numId w:val="6"/>
        </w:numPr>
        <w:spacing w:after="80" w:line="260"/>
      </w:pPr>
      <w:r>
        <w:rPr>
          <w:rFonts w:ascii="Times New Roman" w:cs="Times New Roman" w:eastAsia="Times New Roman" w:hAnsi="Times New Roman"/>
          <w:sz w:val="28"/>
          <w:szCs w:val="28"/>
        </w:rPr>
        <w:t xml:space="preserve">Rasulov Sh.M., Matnazarova G.S. Exinokokkozning etiologiyasi, epizootologiyasi, epidemiologiyasi, profilaktikasi va epidemiologik nazorati (o'quv-uslubiy qo'llanma). Toshkent tibbiyot akademiyasi, 2020. Manba: xayrullokomilov.uz/kutubxona, material № 1607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4-ilova: aholi orasida gelmintoz kasalliklarining oldini olish va epidemiyaga qarshi chora-tadbirlar to'g'risida yo'riqnoma. Manba: xayrullokomilov.uz/kutubxona, material № 1525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World Health Organization. Echinococcosis (fact sheet). URL: https://www.who.int/news-room/fact-sheets/detail/echinococcosis (kirilgan sana: 30.10.2026).</w:t>
      </w:r>
    </w:p>
    <w:p>
      <w:pPr>
        <w:pStyle w:val="ListParagraph"/>
        <w:numPr>
          <w:ilvl w:val="0"/>
          <w:numId w:val="6"/>
        </w:numPr>
        <w:spacing w:after="80" w:line="260"/>
      </w:pPr>
      <w:r>
        <w:rPr>
          <w:rFonts w:ascii="Times New Roman" w:cs="Times New Roman" w:eastAsia="Times New Roman" w:hAnsi="Times New Roman"/>
          <w:sz w:val="28"/>
          <w:szCs w:val="28"/>
        </w:rPr>
        <w:t xml:space="preserve">Mirtazayev O.M., Zueva L.P., Matnazarova G.S. Epidemiologiya (darslik). Toshkent, 2016. 16.10–16.11-bo'limlar (ichak protozoozlari va gelmintozlari, 214–224-betlar). Manba: xayrullokomilov.uz/kutubxona, material № 2356 (matn kirill yozuvida).</w:t>
      </w:r>
    </w:p>
    <w:p>
      <w:pPr>
        <w:pStyle w:val="ListParagraph"/>
        <w:numPr>
          <w:ilvl w:val="0"/>
          <w:numId w:val="6"/>
        </w:numPr>
        <w:spacing w:after="80" w:line="260"/>
      </w:pPr>
      <w:r>
        <w:rPr>
          <w:rFonts w:ascii="Times New Roman" w:cs="Times New Roman" w:eastAsia="Times New Roman" w:hAnsi="Times New Roman"/>
          <w:sz w:val="28"/>
          <w:szCs w:val="28"/>
        </w:rPr>
        <w:t xml:space="preserve">O'zbekiston Respublikasi Sog'liqni saqlash vazirining 2015-yil 25-martdagi 121-son buyrug'iga 7-ilova: parazitar kasalliklarning epidemiologik nazorati to'g'risida yo'riqnoma. Manba: xayrullokomilov.uz/kutubxona, material № 1522 (matn kirill yozuvida).</w:t>
      </w:r>
    </w:p>
    <w:sectPr>
      <w:pgSz w:w="11906" w:h="16838" w:orient="portrait"/>
      <w:pgMar w:top="1134" w:right="850" w:bottom="1134"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decimal"/>
      <w:lvlText w:val="[%1]"/>
      <w:lvlJc w:val="left"/>
      <w:pPr>
        <w:ind w:left="720" w:hanging="720"/>
      </w:pPr>
      <w:rPr>
        <w:rFonts w:ascii="Times New Roman" w:cs="Times New Roman" w:eastAsia="Times New Roman" w:hAnsi="Times New Roman"/>
        <w:sz w:val="28"/>
        <w:szCs w:val="28"/>
      </w:rPr>
    </w:lvl>
  </w:abstractNum>
  <w:abstractNum w:abstractNumId="3"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4"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5"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abstractNum w:abstractNumId="6" w15:restartNumberingAfterBreak="0">
    <w:multiLevelType w:val="hybridMultilevel"/>
    <w:lvl w:ilvl="0" w:tentative="1">
      <w:start w:val="1"/>
      <w:numFmt w:val="decimal"/>
      <w:lvlText w:val="%1)"/>
      <w:lvlJc w:val="left"/>
      <w:pPr>
        <w:ind w:left="851" w:hanging="425"/>
      </w:pPr>
      <w:rPr>
        <w:rFonts w:ascii="Times New Roman" w:cs="Times New Roman" w:eastAsia="Times New Roman" w:hAnsi="Times New Roman"/>
        <w:sz w:val="28"/>
        <w:szCs w:val="28"/>
      </w:r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40" w:before="0"/>
      <w:outlineLvl w:val="0"/>
    </w:pPr>
    <w:rPr>
      <w:rFonts w:ascii="Times New Roman" w:cs="Times New Roman" w:eastAsia="Times New Roman" w:hAnsi="Times New Roman"/>
      <w:b/>
      <w:bCs/>
      <w:color w:val="000000"/>
      <w:sz w:val="30"/>
      <w:szCs w:val="30"/>
    </w:rPr>
  </w:style>
  <w:style w:type="paragraph" w:styleId="Heading2">
    <w:name w:val="Heading 2"/>
    <w:basedOn w:val="Normal"/>
    <w:next w:val="Normal"/>
    <w:qFormat/>
    <w:pPr>
      <w:spacing w:after="100" w:before="200"/>
      <w:outlineLvl w:val="1"/>
    </w:pPr>
    <w:rPr>
      <w:rFonts w:ascii="Times New Roman" w:cs="Times New Roman" w:eastAsia="Times New Roman" w:hAnsi="Times New Roman"/>
      <w:b/>
      <w:bCs/>
      <w:color w:val="000000"/>
      <w:sz w:val="28"/>
      <w:szCs w:val="2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117. Exinokokkozning epidemiologiyasi va profilaktikasi</dc:title>
  <dc:creator>Epidemiologiya</dc:creator>
  <cp:lastModifiedBy>Un-named</cp:lastModifiedBy>
  <cp:revision>1</cp:revision>
  <dcterms:created xsi:type="dcterms:W3CDTF">2026-10-30T12:04:09.079Z</dcterms:created>
  <dcterms:modified xsi:type="dcterms:W3CDTF">2026-10-30T12:04:09.079Z</dcterms:modified>
</cp:coreProperties>
</file>

<file path=docProps/custom.xml><?xml version="1.0" encoding="utf-8"?>
<Properties xmlns="http://schemas.openxmlformats.org/officeDocument/2006/custom-properties" xmlns:vt="http://schemas.openxmlformats.org/officeDocument/2006/docPropsVTypes"/>
</file>