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54. O'tkir diareya kasalliklarida epidemiologik tekshiruv o'tkazish va uning asosiy elementlari</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O'tkir diareya kasalliklari bakteriyalar, viruslar va parazitlar keltirib chiqaradigan, asosan ifloslangan suv va oziq-ovqat orqali yoki gigiyena buzilganda odamdan odamga yuqadigan infeksiyalardir. JSST diareyani kuniga uch yoki undan ko'p suyuq najas ajralishi (yoki shaxs uchun odatdagidan tez-tez ajralishi) deb ta'riflaydi [1]. Epidemiologik tekshiruvning maqsadi — kasallik manbasini, uni keltirib chiqargan omillarni va yuqish sharoitlarini erta aniqlash, tarqalish chegarasini belgilash va majmuaviy choralarni o'tkazish [2].</w:t>
      </w:r>
    </w:p>
    <w:p>
      <w:pPr>
        <w:pStyle w:val="Heading2"/>
        <w:spacing w:after="100" w:before="200"/>
      </w:pPr>
      <w:r>
        <w:rPr>
          <w:rFonts w:ascii="Times New Roman" w:cs="Times New Roman" w:eastAsia="Times New Roman" w:hAnsi="Times New Roman"/>
          <w:b/>
          <w:bCs/>
          <w:sz w:val="28"/>
          <w:szCs w:val="28"/>
        </w:rPr>
        <w:t xml:space="preserve">Tekshiruv o'tkaziladigan holatlar</w:t>
      </w:r>
    </w:p>
    <w:p>
      <w:pPr>
        <w:spacing w:after="120" w:line="276"/>
        <w:ind w:firstLine="567"/>
        <w:jc w:val="both"/>
      </w:pPr>
      <w:r>
        <w:rPr>
          <w:rFonts w:ascii="Times New Roman" w:cs="Times New Roman" w:eastAsia="Times New Roman" w:hAnsi="Times New Roman"/>
          <w:sz w:val="28"/>
          <w:szCs w:val="28"/>
        </w:rPr>
        <w:t xml:space="preserve">Sog'liqni saqlash vazirligi yo'riqnomasiga ko'ra epidemiologik tekshiruv quyidagi hollarda o'tkaziladi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epidemiologik ahamiyatga ega obyektlar va ularga tenglashtirilgan korxonalar xodimlari, maktabgacha muassasalarga qatnovchi bolalar va 2 yoshgacha uyushmagan bolalar orasida o'tkir ichak kasalligi qayd etilganda;</w:t>
      </w:r>
    </w:p>
    <w:p>
      <w:pPr>
        <w:pStyle w:val="ListParagraph"/>
        <w:numPr>
          <w:ilvl w:val="0"/>
          <w:numId w:val="2"/>
        </w:numPr>
        <w:spacing w:after="60" w:line="276"/>
        <w:jc w:val="both"/>
      </w:pPr>
      <w:r>
        <w:rPr>
          <w:rFonts w:ascii="Times New Roman" w:cs="Times New Roman" w:eastAsia="Times New Roman" w:hAnsi="Times New Roman"/>
          <w:sz w:val="28"/>
          <w:szCs w:val="28"/>
        </w:rPr>
        <w:t xml:space="preserve">o'tkir ichak kasalligi bir necha marta qayd etilgan o'choqlarda;</w:t>
      </w:r>
    </w:p>
    <w:p>
      <w:pPr>
        <w:pStyle w:val="ListParagraph"/>
        <w:numPr>
          <w:ilvl w:val="0"/>
          <w:numId w:val="2"/>
        </w:numPr>
        <w:spacing w:after="60" w:line="276"/>
        <w:jc w:val="both"/>
      </w:pPr>
      <w:r>
        <w:rPr>
          <w:rFonts w:ascii="Times New Roman" w:cs="Times New Roman" w:eastAsia="Times New Roman" w:hAnsi="Times New Roman"/>
          <w:sz w:val="28"/>
          <w:szCs w:val="28"/>
        </w:rPr>
        <w:t xml:space="preserve">boshqa hollarda — epidemik vaziyat va retrospektiv tahlil ma'lumotlariga qarab epidemiolog qaroriga ko'ra;</w:t>
      </w:r>
    </w:p>
    <w:p>
      <w:pPr>
        <w:pStyle w:val="ListParagraph"/>
        <w:numPr>
          <w:ilvl w:val="0"/>
          <w:numId w:val="2"/>
        </w:numPr>
        <w:spacing w:after="60" w:line="276"/>
        <w:jc w:val="both"/>
      </w:pPr>
      <w:r>
        <w:rPr>
          <w:rFonts w:ascii="Times New Roman" w:cs="Times New Roman" w:eastAsia="Times New Roman" w:hAnsi="Times New Roman"/>
          <w:sz w:val="28"/>
          <w:szCs w:val="28"/>
        </w:rPr>
        <w:t xml:space="preserve">maktabgacha muassasa, davolash-profilaktika muassasasi, oziq-ovqat va unga tenglashtirilgan korxonada birinchi marta holat qayd etilganda tekshiruv o'tkazilishini epidemiolog belgilaydi; qayta kasallanishda sanitariya-gigiyena mutaxassislari bilan hamkorlikda o'tkaziladi.</w:t>
      </w:r>
    </w:p>
    <w:p>
      <w:pPr>
        <w:pStyle w:val="Heading2"/>
        <w:spacing w:after="100" w:before="200"/>
      </w:pPr>
      <w:r>
        <w:rPr>
          <w:rFonts w:ascii="Times New Roman" w:cs="Times New Roman" w:eastAsia="Times New Roman" w:hAnsi="Times New Roman"/>
          <w:b/>
          <w:bCs/>
          <w:sz w:val="28"/>
          <w:szCs w:val="28"/>
        </w:rPr>
        <w:t xml:space="preserve">Tekshiruvning bosqichlari</w:t>
      </w:r>
    </w:p>
    <w:p>
      <w:pPr>
        <w:spacing w:after="120" w:line="276"/>
        <w:ind w:firstLine="567"/>
        <w:jc w:val="both"/>
      </w:pPr>
      <w:r>
        <w:rPr>
          <w:rFonts w:ascii="Times New Roman" w:cs="Times New Roman" w:eastAsia="Times New Roman" w:hAnsi="Times New Roman"/>
          <w:sz w:val="28"/>
          <w:szCs w:val="28"/>
        </w:rPr>
        <w:t xml:space="preserve">O'zbekiston Respublikasi Sog'liqni saqlash vazirligi, JSSTning Yevropa mintaqaviy byurosi va Toshkent vrachlar malakasini oshirish instituti 2019-yilda tayyorlagan rahbariyatda yuqumli kasalliklar avj olishini tekshirish yetti bosqichga bo'lingan [3]:</w:t>
      </w:r>
    </w:p>
    <w:p>
      <w:pPr>
        <w:pStyle w:val="ListParagraph"/>
        <w:numPr>
          <w:ilvl w:val="0"/>
          <w:numId w:val="3"/>
        </w:numPr>
        <w:spacing w:after="60" w:line="276"/>
        <w:jc w:val="both"/>
      </w:pPr>
      <w:r>
        <w:rPr>
          <w:rFonts w:ascii="Times New Roman" w:cs="Times New Roman" w:eastAsia="Times New Roman" w:hAnsi="Times New Roman"/>
          <w:sz w:val="28"/>
          <w:szCs w:val="28"/>
        </w:rPr>
        <w:t xml:space="preserve">Avj olishni tasdiqlash. Avj olish deb muayyan hududda yilning shu davrida kutilganiga nisbatan kasallanish holatlari sonining odatdan tashqari ko'payishi tushuniladi. Ma'lumot navbatdan tashqari xabarnoma, epidemiologik kuzatuvning muntazam tahlili yoki boshqa manbalardan kelishi mumkin; dastlabki ma'lumot telefon orqali yig'iladi va xavf baholanadi [3].</w:t>
      </w:r>
    </w:p>
    <w:p>
      <w:pPr>
        <w:pStyle w:val="ListParagraph"/>
        <w:numPr>
          <w:ilvl w:val="0"/>
          <w:numId w:val="3"/>
        </w:numPr>
        <w:spacing w:after="60" w:line="276"/>
        <w:jc w:val="both"/>
      </w:pPr>
      <w:r>
        <w:rPr>
          <w:rFonts w:ascii="Times New Roman" w:cs="Times New Roman" w:eastAsia="Times New Roman" w:hAnsi="Times New Roman"/>
          <w:sz w:val="28"/>
          <w:szCs w:val="28"/>
        </w:rPr>
        <w:t xml:space="preserve">Joyga chiqishga tayyorgarlik. Tezkor javob guruhi shakllantiriladi (kamida bir epidemiolog, vrach-laborant va kerak bo'lsa boshqa mutaxassislar), dala jihozlari tayyorlanadi, milliy va mahalliy xodimlar xabardor qilinadi [3].</w:t>
      </w:r>
    </w:p>
    <w:p>
      <w:pPr>
        <w:pStyle w:val="ListParagraph"/>
        <w:numPr>
          <w:ilvl w:val="0"/>
          <w:numId w:val="3"/>
        </w:numPr>
        <w:spacing w:after="60" w:line="276"/>
        <w:jc w:val="both"/>
      </w:pPr>
      <w:r>
        <w:rPr>
          <w:rFonts w:ascii="Times New Roman" w:cs="Times New Roman" w:eastAsia="Times New Roman" w:hAnsi="Times New Roman"/>
          <w:sz w:val="28"/>
          <w:szCs w:val="28"/>
        </w:rPr>
        <w:t xml:space="preserve">Tashxisni tasdiqlash. Klinik ma'lumotlar tahlil qilinadi, laboratoriya natijalari ko'rib chiqiladi, bemorlar ko'rikdan o'tkaziladi [3].</w:t>
      </w:r>
    </w:p>
    <w:p>
      <w:pPr>
        <w:pStyle w:val="ListParagraph"/>
        <w:numPr>
          <w:ilvl w:val="0"/>
          <w:numId w:val="3"/>
        </w:numPr>
        <w:spacing w:after="60" w:line="276"/>
        <w:jc w:val="both"/>
      </w:pPr>
      <w:r>
        <w:rPr>
          <w:rFonts w:ascii="Times New Roman" w:cs="Times New Roman" w:eastAsia="Times New Roman" w:hAnsi="Times New Roman"/>
          <w:sz w:val="28"/>
          <w:szCs w:val="28"/>
        </w:rPr>
        <w:t xml:space="preserve">Holatlarni aniqlash. Holatning standart ta'rifi tuziladi: klinik mezonlar (masalan, kuniga uch va undan ko'p suyuq najas), vaqt, joy va aholi guruhi bo'yicha cheklovlar. Ta'rifga o'rganilayotgan xavf omili kiritilmasligi kerak, aks holda bu keng tarqalgan xatoga aylanadi [3].</w:t>
      </w:r>
    </w:p>
    <w:p>
      <w:pPr>
        <w:pStyle w:val="ListParagraph"/>
        <w:numPr>
          <w:ilvl w:val="0"/>
          <w:numId w:val="3"/>
        </w:numPr>
        <w:spacing w:after="60" w:line="276"/>
        <w:jc w:val="both"/>
      </w:pPr>
      <w:r>
        <w:rPr>
          <w:rFonts w:ascii="Times New Roman" w:cs="Times New Roman" w:eastAsia="Times New Roman" w:hAnsi="Times New Roman"/>
          <w:sz w:val="28"/>
          <w:szCs w:val="28"/>
        </w:rPr>
        <w:t xml:space="preserve">Tavsifiy tahlil. Avj olish vaqt, joy va shaxs bo'yicha tavsiflanadi [3].</w:t>
      </w:r>
    </w:p>
    <w:p>
      <w:pPr>
        <w:pStyle w:val="ListParagraph"/>
        <w:numPr>
          <w:ilvl w:val="0"/>
          <w:numId w:val="3"/>
        </w:numPr>
        <w:spacing w:after="60" w:line="276"/>
        <w:jc w:val="both"/>
      </w:pPr>
      <w:r>
        <w:rPr>
          <w:rFonts w:ascii="Times New Roman" w:cs="Times New Roman" w:eastAsia="Times New Roman" w:hAnsi="Times New Roman"/>
          <w:sz w:val="28"/>
          <w:szCs w:val="28"/>
        </w:rPr>
        <w:t xml:space="preserve">Nazorat va profilaktika choralari. Tahlil natijalarini kutmasdan ham dastlabki choralar qabul qilinadi, kuzatuv mahalliy rahbarlar bilan kundalik davom ettiriladi [3].</w:t>
      </w:r>
    </w:p>
    <w:p>
      <w:pPr>
        <w:pStyle w:val="ListParagraph"/>
        <w:numPr>
          <w:ilvl w:val="0"/>
          <w:numId w:val="3"/>
        </w:numPr>
        <w:spacing w:after="60" w:line="276"/>
        <w:jc w:val="both"/>
      </w:pPr>
      <w:r>
        <w:rPr>
          <w:rFonts w:ascii="Times New Roman" w:cs="Times New Roman" w:eastAsia="Times New Roman" w:hAnsi="Times New Roman"/>
          <w:sz w:val="28"/>
          <w:szCs w:val="28"/>
        </w:rPr>
        <w:t xml:space="preserve">Avj olish bo'yicha hisobot tayyorlash [3].</w:t>
      </w:r>
    </w:p>
    <w:p>
      <w:pPr>
        <w:spacing w:after="120" w:line="276"/>
        <w:ind w:firstLine="567"/>
        <w:jc w:val="both"/>
      </w:pPr>
      <w:r>
        <w:rPr>
          <w:rFonts w:ascii="Times New Roman" w:cs="Times New Roman" w:eastAsia="Times New Roman" w:hAnsi="Times New Roman"/>
          <w:sz w:val="28"/>
          <w:szCs w:val="28"/>
        </w:rPr>
        <w:t xml:space="preserve">Rahbariyatda tezkor javob guruhlari milliy darajada Sog'liqni saqlash vazirligining buyrug'i yoki farmoyishi, mahalliy darajada esa mahalliy buyruqlar asosida shakllantirilishi, avj olish xususiyatiga qarab respublika, viloyat va tuman guruhlari jalb etilishi, quyi guruhlar zarur bo'lsa yuqori guruh mutaxassislari hisobiga kuchaytirilishi ko'rsatilgan; milliy guruh tarkibida vazirlik tuzilmasidan kamida bitta epidemiolog bo'lishi kerak [3]. Holatning ta'rifi vaqt (masalan, oxirgi ikki oy ichida kasallanganlar), joy (muayyan tumanlar yoki korxona ishchilari) va aholi guruhi (masalan, maktabgacha yoshdagi bolalar) bo'yicha cheklanishi mumkin, ammo mezonlar barcha tekshiriluvchilarga izchil va xolisona qo'llanishi shart [3]. Shu tartib o'tkir diareya klasterlarini maktabgacha muassasa yoki oziq-ovqat obyekti bilan bog'lashda qo'llanadi: avval ta'rif tuziladi, so'ng so'rovnoma orqali bemorlar soni, yoshi, jinsi, o'lim va kasallanganlar aniqlanadi, qo'shimcha namunalar laboratoriyaga yuboriladi [3].</w:t>
      </w:r>
    </w:p>
    <w:p>
      <w:pPr>
        <w:pStyle w:val="Heading2"/>
        <w:spacing w:after="100" w:before="200"/>
      </w:pPr>
      <w:r>
        <w:rPr>
          <w:rFonts w:ascii="Times New Roman" w:cs="Times New Roman" w:eastAsia="Times New Roman" w:hAnsi="Times New Roman"/>
          <w:b/>
          <w:bCs/>
          <w:sz w:val="28"/>
          <w:szCs w:val="28"/>
        </w:rPr>
        <w:t xml:space="preserve">Namunalar olish va laboratoriya tekshiruvi</w:t>
      </w:r>
    </w:p>
    <w:p>
      <w:pPr>
        <w:spacing w:after="120" w:line="276"/>
        <w:ind w:firstLine="567"/>
        <w:jc w:val="both"/>
      </w:pPr>
      <w:r>
        <w:rPr>
          <w:rFonts w:ascii="Times New Roman" w:cs="Times New Roman" w:eastAsia="Times New Roman" w:hAnsi="Times New Roman"/>
          <w:sz w:val="28"/>
          <w:szCs w:val="28"/>
        </w:rPr>
        <w:t xml:space="preserve">Bemordan namuna (qusuq massa, yuvilgan oshqozon suvi, najas) etiotrop davo kursi boshlanishidan oldin tashxis qo'ygan shifokor tomonidan olinadi va ichak guruhi qo'zg'atuvchilarini aniqlash uchun bakteriologiya laboratoriyasiga yuboriladi; epidemiologik vaziyatga qarab viruslar, shartli patogen bakteriyalar, iyersiniyalar va kampilobakterlar ham tekshiriladi. Qabul bo'limida olingan namunalar maxsus yopiq idishlarda yo'llanma bilan 2 soat ichida yetkaziladi; yetkazib bo'lmasa, muzlatgichda saqlanib, 12 soat ichida topshiriladi [2]. Uy sharoitida, maktabgacha muassasa va ovqatlanish obyektlarida tekshiruv vaqtida enteropatogen guruh va sanitariya ko'rsatkichini aniqlash uchun mahsulot, suv va surtma namunalari olinadi [2]. Oziq-ovqat va unga tenglashtirilgan korxonalarga ishga qabul qilinuvchilardan ham namunalar belgilangan tartibda olinadi [2].</w:t>
      </w:r>
    </w:p>
    <w:p>
      <w:pPr>
        <w:pStyle w:val="Heading2"/>
        <w:spacing w:after="100" w:before="200"/>
      </w:pPr>
      <w:r>
        <w:rPr>
          <w:rFonts w:ascii="Times New Roman" w:cs="Times New Roman" w:eastAsia="Times New Roman" w:hAnsi="Times New Roman"/>
          <w:b/>
          <w:bCs/>
          <w:sz w:val="28"/>
          <w:szCs w:val="28"/>
        </w:rPr>
        <w:t xml:space="preserve">Muloqotda bo'lganlar va tibbiy kuzatuv</w:t>
      </w:r>
    </w:p>
    <w:p>
      <w:pPr>
        <w:spacing w:after="120" w:line="276"/>
        <w:ind w:firstLine="567"/>
        <w:jc w:val="both"/>
      </w:pPr>
      <w:r>
        <w:rPr>
          <w:rFonts w:ascii="Times New Roman" w:cs="Times New Roman" w:eastAsia="Times New Roman" w:hAnsi="Times New Roman"/>
          <w:sz w:val="28"/>
          <w:szCs w:val="28"/>
        </w:rPr>
        <w:t xml:space="preserve">Bemorlar bilan muloqotda bo'lganlardan bakteriologik namuna kattalar va bolalar orasida bir vaqtda kasallanish yuz berganda hamda bolalar yaslisi, maktabgacha muassasalar va epidemiologik ahamiyatli obyektlarda holat qayd etilganda olinadi; boshqa hollarda namunalar sonini epidemiolog belgilaydi. Uy o'choqlarida oziq-ovqat korxonalari xodimlari, bolalar muassasalariga qatnovchilar va 2 yoshgacha uyushmagan bolalar bir marta tekshiriladi; uyushgan bolalar va shu toifa xodimlar ishdan chetlashtirilmaydi. Tibbiy kuzatuv 7 kun davom etadi, har kuni so'rov, ko'rik, ich ketishini kuzatish va termometriya o'tkaziladi; ma'lumotlar bolaning rivojlanish tarixi va ambulator kartasiga yoziladi [2].</w:t>
      </w:r>
    </w:p>
    <w:p>
      <w:pPr>
        <w:pStyle w:val="Heading2"/>
        <w:spacing w:after="100" w:before="200"/>
      </w:pPr>
      <w:r>
        <w:rPr>
          <w:rFonts w:ascii="Times New Roman" w:cs="Times New Roman" w:eastAsia="Times New Roman" w:hAnsi="Times New Roman"/>
          <w:b/>
          <w:bCs/>
          <w:sz w:val="28"/>
          <w:szCs w:val="28"/>
        </w:rPr>
        <w:t xml:space="preserve">Gospitalizatsiya va dezinfeksiya</w:t>
      </w:r>
    </w:p>
    <w:p>
      <w:pPr>
        <w:spacing w:after="120" w:line="276"/>
        <w:ind w:firstLine="567"/>
        <w:jc w:val="both"/>
      </w:pPr>
      <w:r>
        <w:rPr>
          <w:rFonts w:ascii="Times New Roman" w:cs="Times New Roman" w:eastAsia="Times New Roman" w:hAnsi="Times New Roman"/>
          <w:sz w:val="28"/>
          <w:szCs w:val="28"/>
        </w:rPr>
        <w:t xml:space="preserve">Bemorlar klinik va epidemiologik ko'rsatmalarga ko'ra yotqiziladi: og'ir va o'rtacha shakldagi yosh bolalar, boshqa kasalliklardan holsizlanganlar; yashash joyida epidemiyaga qarshi choralar uchun sharoit bo'lmaganda; oziq-ovqat va unga tenglashtirilgan korxona ishchilari tashxisni aniqlashtirish uchun barcha holatlarda [2]. O'choqli dezinfeksiya o'tkir ichak infeksiyalari o'choqlarida o'tkazilib, bemor shifoxonaga yotqizilgan paytdan 24 soat ichida va kamida 95 foiz qamrov bilan bajarilishi kerak [4].</w:t>
      </w:r>
    </w:p>
    <w:p>
      <w:pPr>
        <w:pStyle w:val="Heading2"/>
        <w:spacing w:after="100" w:before="200"/>
      </w:pPr>
      <w:r>
        <w:rPr>
          <w:rFonts w:ascii="Times New Roman" w:cs="Times New Roman" w:eastAsia="Times New Roman" w:hAnsi="Times New Roman"/>
          <w:b/>
          <w:bCs/>
          <w:sz w:val="28"/>
          <w:szCs w:val="28"/>
        </w:rPr>
        <w:t xml:space="preserve">Chora-tadbirlarni rejalashtirish</w:t>
      </w:r>
    </w:p>
    <w:p>
      <w:pPr>
        <w:spacing w:after="120" w:line="276"/>
        <w:ind w:firstLine="567"/>
        <w:jc w:val="both"/>
      </w:pPr>
      <w:r>
        <w:rPr>
          <w:rFonts w:ascii="Times New Roman" w:cs="Times New Roman" w:eastAsia="Times New Roman" w:hAnsi="Times New Roman"/>
          <w:sz w:val="28"/>
          <w:szCs w:val="28"/>
        </w:rPr>
        <w:t xml:space="preserve">Tekshiruv natijalari bo'yicha chora-tadbirlar uchta zanjirga qaratiladi: manba (bemor va tashuvchilarni ajratish, davolash), yuqish yo'li (suv, oziq-ovqat, dezinfeksiya, qo'l gigiyenasi) va moyil jamoa (kuzatuv, rotavirus kabi infeksiyalarda emlash) [1, 5]. Rejada bajarish muddatlari, mas'ul ijrochilar hamda ma'muriy va moddiy ta'minot ko'rsatilishi kerak [5]. JSSTga ko'ra, diareyadan himoya xavfsiz ichimlik suvi, yaxshilangan sanitariya, sovun bilan qo'l yuvish, oziq-ovqat gigiyenasi va sanitariya-ma'rifiy ishlar bilan ta'minlanadi [1].</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O'tkir diareya bo'yicha epidemiologik tekshiruv avj olishni tasdiqlash, holatlarni standart ta'rif bilan aniqlash, namunalarni to'g'ri olish va yetkazish, muloqotda bo'lganlarni kuzatish, dezinfeksiya va tezkor choralarni qo'llashdan iborat. Tekshiruvning har bir elementi muddati, mas'uli va hujjatlashtirilgan natijasi bilan belgilanadi [2, 3]. Shu sababli vrach-epidemiolog har bir o'chog'ida tekshiruv dalolatnomasini, namunalar yo'llanmasini va kuzatuv varaqlarini to'liq yuritishi, natijalarni retrospektiv tahlilda ishlatish uchun saqlashi lozim.</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4"/>
        </w:numPr>
        <w:spacing w:after="80" w:line="260"/>
      </w:pPr>
      <w:r>
        <w:rPr>
          <w:rFonts w:ascii="Times New Roman" w:cs="Times New Roman" w:eastAsia="Times New Roman" w:hAnsi="Times New Roman"/>
          <w:sz w:val="28"/>
          <w:szCs w:val="28"/>
        </w:rPr>
        <w:t xml:space="preserve">World Health Organization. Diarrhoeal disease (fact sheet). URL: https://www.who.int/news-room/fact-sheets/detail/diarrhoeal-disease (kirilgan sana: 30.10.2026).</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vazirining 25.03.2015-yildagi buyrug'iga 1-ilova: O'tkir ichak infeksiyalarini oldini olish borasida sanitariya-gigiyenik, profilaktik va epidemiyaga qarshi chora-tadbirlarni tashkil etish hamda amalga oshirish to'g'risidagi yo'riqnoma, 2–7-bo'limlar. Manba: xayrullokomilov.uz/kutubxona, material № 436 (kutubxonada "Buyruq № 122"; hujjat ichida "125-son" va "122-son" ikkalasi uchraydi — raqam tasdiqlanmagan; matn kirill yozuvida).</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vazirligi, JSST Yevropa mintaqaviy byurosi, Toshkent vrachlar malakasini oshirish instituti. Yuqumli kasalliklar avj olishlari va hodisalarini tekshirish hamda javob choralarini tashkil etish bo'yicha rahbariyat. Toshkent, 2019 (rus tilida; skanerlangan matn, OCR xatolari mavjud). Manba: xayrullokomilov.uz/kutubxona, material № 1426.</w:t>
      </w:r>
    </w:p>
    <w:p>
      <w:pPr>
        <w:pStyle w:val="ListParagraph"/>
        <w:numPr>
          <w:ilvl w:val="0"/>
          <w:numId w:val="4"/>
        </w:numPr>
        <w:spacing w:after="80" w:line="260"/>
      </w:pPr>
      <w:r>
        <w:rPr>
          <w:rFonts w:ascii="Times New Roman" w:cs="Times New Roman" w:eastAsia="Times New Roman" w:hAnsi="Times New Roman"/>
          <w:sz w:val="28"/>
          <w:szCs w:val="28"/>
        </w:rPr>
        <w:t xml:space="preserve">SanQvaN № 0090-25 (SEO va JS qo'mitasi qarori, Toshkent, 05.05.2025, № 8; Adliya vazirligida 03.06.2025-yilda 350-raqam bilan ro'yxatga olingan), 55, 65-bandlar. URL: https://lex.uz/en/docs/-7556121. Manba: xayrullokomilov.uz/kutubxona, material № 660.</w:t>
      </w:r>
    </w:p>
    <w:p>
      <w:pPr>
        <w:pStyle w:val="ListParagraph"/>
        <w:numPr>
          <w:ilvl w:val="0"/>
          <w:numId w:val="4"/>
        </w:numPr>
        <w:spacing w:after="80" w:line="260"/>
      </w:pPr>
      <w:r>
        <w:rPr>
          <w:rFonts w:ascii="Times New Roman" w:cs="Times New Roman" w:eastAsia="Times New Roman" w:hAnsi="Times New Roman"/>
          <w:sz w:val="28"/>
          <w:szCs w:val="28"/>
        </w:rPr>
        <w:t xml:space="preserve">Mirtazayev O.M., Zueva L.P., Matnazarova G.S. Epidemiologiya (darslik). Toshkent, 2016. 15-bob (151–154-betlar). Manba: xayrullokomilov.uz/kutubxona, material № 2356 (matn kirill yozuvida).</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55. O'tkir diareya kasalliklarida epidemiologik tekshiruv o'tkazish va uning asosiy elementlari. Epidemiyaga qarshi chora-tadbirlarni rejalashtirish</dc:title>
  <dc:creator>Epidemiologiya</dc:creator>
  <cp:lastModifiedBy>Un-named</cp:lastModifiedBy>
  <cp:revision>1</cp:revision>
  <dcterms:created xsi:type="dcterms:W3CDTF">2026-10-30T02:03:42.004Z</dcterms:created>
  <dcterms:modified xsi:type="dcterms:W3CDTF">2026-10-30T02:03:42.004Z</dcterms:modified>
</cp:coreProperties>
</file>

<file path=docProps/custom.xml><?xml version="1.0" encoding="utf-8"?>
<Properties xmlns="http://schemas.openxmlformats.org/officeDocument/2006/custom-properties" xmlns:vt="http://schemas.openxmlformats.org/officeDocument/2006/docPropsVTypes"/>
</file>