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71. Epidemik parotit va uning oldini olish choralari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Epidemik parotit (tepki) — havo-tomchi yo'li bilan yuqadigan antroponoz virusli kasallik; asosan so'lak bezlari, ayrim hollarda me'da osti bezi, jinsiy bezlar va markaziy asab tizimi (meningit, meningoensefalit) zararlanadi [1]. Ommaviy emlash kasallanish darajasini keskin kamaytirgan bo'lsa-da, sporadik hollar va hatto avj olishlar, ayniqsa maktab o'quvchilari orasida, qayd etilmoqda [1]. Shu bois profilaktika va rejalashtirish emlash tizimi sifatiga bog'liq.</w:t>
      </w:r>
    </w:p>
    <w:p>
      <w:pPr>
        <w:pStyle w:val="Heading2"/>
        <w:spacing w:after="100" w:before="200"/>
      </w:pPr>
      <w:r>
        <w:rPr>
          <w:rFonts w:ascii="Times New Roman" w:cs="Times New Roman" w:eastAsia="Times New Roman" w:hAnsi="Times New Roman"/>
          <w:b/>
          <w:bCs/>
          <w:sz w:val="28"/>
          <w:szCs w:val="28"/>
        </w:rPr>
        <w:t xml:space="preserve">Epidemik jarayonning bo'g'inlari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Infeksiya manbai: faqat odam — yaqqol yoki belgisiz shaklli bemor. Yashirin davr 11–25 kun (ko'pincha 15–18 kun); bemor prodromal davrda va kasallikning dastlabki 5–6 kunida eng xavfli, yuqumlilik klinik belgilar boshlanishidan taxminan 9 kun oldin boshlanadi [1]. CDC bo'yicha yuqumli davr parotit boshlanishidan 2 kun oldin va 5 kun keyin hisoblanadi (virus so'lakdan 7 kun oldin va 9 kun keyin ham ajratilgan)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Belgisiz va yashirin shakllar: epidemik parotit holatlarining taxminan 40% belgisiz kechib, ro'yxatga olinmaydi; emlash yillarida bunday shakllar ko'paygan, shuning uchun manbani 45% hollardagina aniqlash mumkin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mexanizmi — havo-tomchi: virus so'lak tomchilari orqali ajraladi; kataral belgilar xos emasligi sababli tarqalish jadalligi kamroq, manba bilan doimiy yaqin aloqa kerak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Moyillik yuqori; kasallikdan so'ng turg'un immunitet qoladi va qayta kasallanish juda kam uchraydi [1].</w:t>
      </w:r>
    </w:p>
    <w:p>
      <w:pPr>
        <w:pStyle w:val="Heading2"/>
        <w:spacing w:after="100" w:before="200"/>
      </w:pPr>
      <w:r>
        <w:rPr>
          <w:rFonts w:ascii="Times New Roman" w:cs="Times New Roman" w:eastAsia="Times New Roman" w:hAnsi="Times New Roman"/>
          <w:b/>
          <w:bCs/>
          <w:sz w:val="28"/>
          <w:szCs w:val="28"/>
        </w:rPr>
        <w:t xml:space="preserve">Epidemik jarayonning namoyon bo'lishi</w:t>
      </w:r>
    </w:p>
    <w:p>
      <w:pPr>
        <w:spacing w:after="120" w:line="276"/>
        <w:ind w:firstLine="567"/>
        <w:jc w:val="both"/>
      </w:pPr>
      <w:r>
        <w:rPr>
          <w:rFonts w:ascii="Times New Roman" w:cs="Times New Roman" w:eastAsia="Times New Roman" w:hAnsi="Times New Roman"/>
          <w:sz w:val="28"/>
          <w:szCs w:val="28"/>
        </w:rPr>
        <w:t xml:space="preserve">O'zbekistonda kasallanish dinamikasida uch davr farqlanadi: 1954–1984 yillarda emlashgacha va emlashning dastlabki yillarida o'rtacha 100 ming aholiga 412,8; 1984–1996 yillarda ommaviy emlash samarasi bilan 4,7 marta pasaygan (88,5); 1997–2009 yillarda yanada sezilarli pasayish kuzatilgan [1]. Mavsumiylik aniq: yozda kasallanish kam, kuzdan ko'tarila boshlaydi, qish-bahorda yuqori darajaga chiqadi [1]. Emlashgacha 14 yoshgacha bolalar kasallanganlarning 95% ini tashkil etgan; ommaviy emlashdan keyin 3–6 yoshlilar orasida kasallanish 50% dan 29,9% gacha pasayib, 10–14, 15–19 yoshlilar va 20 yoshdan oshganlar orasida ulush oshgan, ya'ni kasallik "keksayib" bormoqda; bunga birlamchi emlashdan keyingi sun'iy immunitet davomiyligining yetarli emasligi sabab deb ko'rsatiladi [1]. Emlash davrida 78–92% o'choqlarda faqat bitta holat uchraydi, epidemik davriylik 7–8 yilgacha cho'zilgan [1].</w:t>
      </w:r>
    </w:p>
    <w:p>
      <w:pPr>
        <w:pStyle w:val="Heading2"/>
        <w:spacing w:after="100" w:before="200"/>
      </w:pPr>
      <w:r>
        <w:rPr>
          <w:rFonts w:ascii="Times New Roman" w:cs="Times New Roman" w:eastAsia="Times New Roman" w:hAnsi="Times New Roman"/>
          <w:b/>
          <w:bCs/>
          <w:sz w:val="28"/>
          <w:szCs w:val="28"/>
        </w:rPr>
        <w:t xml:space="preserve">Klinik ahamiyati va asoratlar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O'smir va kattalarda kasallik bolalarga nisbatan og'irroq, kuchli intoksikatsiya bilan o'tadi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Jinsiy balog'at davrida jinsiy bezlar zararlanishi: o'g'il bolalarning 20–30% ida orxit, qizlarning 5% ida oofarit; keyinchalik bepushtlikka olib kelishi mumkin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Boshqa asoratlar: pankreatit (30 tadan 1 tasida), qandli diabet, karlik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Homiladorlikning dastlabki uch oyida kasallanish xavfli bo'lib, o'lik tug'ilishga sabab bo'lishi mumkin [1].</w:t>
      </w:r>
    </w:p>
    <w:p>
      <w:pPr>
        <w:pStyle w:val="Heading2"/>
        <w:spacing w:after="100" w:before="200"/>
      </w:pPr>
      <w:r>
        <w:rPr>
          <w:rFonts w:ascii="Times New Roman" w:cs="Times New Roman" w:eastAsia="Times New Roman" w:hAnsi="Times New Roman"/>
          <w:b/>
          <w:bCs/>
          <w:sz w:val="28"/>
          <w:szCs w:val="28"/>
        </w:rPr>
        <w:t xml:space="preserve">Holatlarning ta'rifi va tasniflanishi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Shubhali holat: epidemik parotitga xos klinik belgilarning bittasi yoki bir nechtasi bor o'tkir kasallanish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Ehtimoli holat: standart ta'rifdagi klinik belgilarga ega va boshqa shubhali yoki tasdiqlangan holatlar bilan epidemik aloqasi bor o'tkir kasallanish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Tasdiqlangan holat: shubhali va ehtimoli holatlar laboratoriyada tasdiqlangandan keyingina shunday hisoblanadi; laboratoriyada tasdiqlangan holatda klinik belgilar bo'lmasligi mumkin (atipik yashirin shakl)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Standart ta'rifga umumiy intoksikatsiya fonida so'lak bezlarining og'riqli kattalashuvi, pankreatit, orxit, oofarit yoki serozli meningit belgilari kiradi [1].</w:t>
      </w:r>
    </w:p>
    <w:p>
      <w:pPr>
        <w:pStyle w:val="Heading2"/>
        <w:spacing w:after="100" w:before="200"/>
      </w:pPr>
      <w:r>
        <w:rPr>
          <w:rFonts w:ascii="Times New Roman" w:cs="Times New Roman" w:eastAsia="Times New Roman" w:hAnsi="Times New Roman"/>
          <w:b/>
          <w:bCs/>
          <w:sz w:val="28"/>
          <w:szCs w:val="28"/>
        </w:rPr>
        <w:t xml:space="preserve">Profilaktika va epidemiyaga qarshi tadbirlar</w:t>
      </w:r>
    </w:p>
    <w:p>
      <w:pPr>
        <w:spacing w:after="120" w:line="276"/>
        <w:ind w:firstLine="567"/>
        <w:jc w:val="both"/>
      </w:pPr>
      <w:r>
        <w:rPr>
          <w:rFonts w:ascii="Times New Roman" w:cs="Times New Roman" w:eastAsia="Times New Roman" w:hAnsi="Times New Roman"/>
          <w:sz w:val="28"/>
          <w:szCs w:val="28"/>
        </w:rPr>
        <w:t xml:space="preserve">Bemorlarni ajratish (kamida 9 kun) va muloqotda bo'lganlarni 21 kun tibbiy kuzatuvda ushlash tavsiya etiladi [1]. CDC esa tibbiyot xodimlarini parotit boshlanganidan 5 kun ishdan chetlatishni ko'rsatadi, bu muddatlar farqi hisobotda qayd etiladi (faqat qidiruv parchasi bo'yicha tasdiqlangan) [3]. Asosiy chora — bolalarni tirik parotit vaksinasi bilan emlash; vaksina Smorodintsev rahbarligida L-3 shtammidan yaratilgan, bir marta 12 oylikda mono- yoki assotsiatsiyalangan preparat bilan, revaksinatsiya 6 yoshda o'tkaziladi [1]. Milliy kalendar bo'yicha KPK-1 12 oylikda, KPK-2 6 yoshda qilinadi [2]. Emlashga qarshi ko'rsatmasi bo'lgan aloqadorlarga (emlanmagan va kasallanmagan 12–15 oylikdan 15 yoshgacha bolalar) pasiv immunoprofilaktika, ya'ni gomologik immunoglobulin tavsiya etilgan [1]. Emlanganlarning 80% ida kasallikning toksik shakllari rivojlanishi oldi olinadi, immunitet 6–8 yil saqlanadi [1]. CDC bo'yicha mumps komponentining samaradorligi bir dozada taxminan 72%, ikki dozada taxminan 86–88% (faqat qidiruv parchasi bo'yicha tasdiqlangan) [4].</w:t>
      </w:r>
    </w:p>
    <w:p>
      <w:pPr>
        <w:pStyle w:val="Heading2"/>
        <w:spacing w:after="100" w:before="200"/>
      </w:pPr>
      <w:r>
        <w:rPr>
          <w:rFonts w:ascii="Times New Roman" w:cs="Times New Roman" w:eastAsia="Times New Roman" w:hAnsi="Times New Roman"/>
          <w:b/>
          <w:bCs/>
          <w:sz w:val="28"/>
          <w:szCs w:val="28"/>
        </w:rPr>
        <w:t xml:space="preserve">Epidemiologik nazorat va rejalashtirish</w:t>
      </w:r>
    </w:p>
    <w:p>
      <w:pPr>
        <w:pStyle w:val="ListParagraph"/>
        <w:numPr>
          <w:ilvl w:val="0"/>
          <w:numId w:val="5"/>
        </w:numPr>
        <w:spacing w:after="60" w:line="276"/>
        <w:jc w:val="both"/>
      </w:pPr>
      <w:r>
        <w:rPr>
          <w:rFonts w:ascii="Times New Roman" w:cs="Times New Roman" w:eastAsia="Times New Roman" w:hAnsi="Times New Roman"/>
          <w:sz w:val="28"/>
          <w:szCs w:val="28"/>
        </w:rPr>
        <w:t xml:space="preserve">Kasallanish ko'rsatkichi, shahar va qishloq farqi, yosh bo'yicha taqsimot va emlanganlik (vaksinatsiya, revaksinatsiya) nazorati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Eng muhim xavf omili — emlash va qayta emlash tizimidagi xatolar (majburiylik, muddat, doza)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Revaksinatsiya buzilsa ayollar orasida kasallanish xavfi ortadi va yangi tug'ilganlar tug'ma parotit bilan tug'ilishi mumkin; onalarda antitelo bo'lmasa, go'daklar hayotining birinchi yilidayoq kasallanishi mumkin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O'choqda: bemorni ajratish, aloqadorlar ro'yxati va emlash holatini aniqlash; milliy kalendar bo'yicha parotit o'chog'ida aloqada bo'lgan, avval emlanmagan va kasallanmagan shaxslar 1 yoshdan boshlab epidemiologik ko'rsatma bo'yicha emlanadi (hujjat matni qisman buzilgan, talqin ehtiyotkorlik bilan berilgan)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Qonuniy asos — aholining sanitariya-epidemiologik osoyishtaligi to'g'risidagi Qonunning 32-moddasi [5].</w:t>
      </w:r>
    </w:p>
    <w:p>
      <w:pPr>
        <w:pStyle w:val="Heading2"/>
        <w:spacing w:after="100" w:before="200"/>
      </w:pPr>
      <w:r>
        <w:rPr>
          <w:rFonts w:ascii="Times New Roman" w:cs="Times New Roman" w:eastAsia="Times New Roman" w:hAnsi="Times New Roman"/>
          <w:b/>
          <w:bCs/>
          <w:sz w:val="28"/>
          <w:szCs w:val="28"/>
        </w:rPr>
        <w:t xml:space="preserve">Rejalashtirish bosqichlari</w:t>
      </w:r>
    </w:p>
    <w:p>
      <w:pPr>
        <w:spacing w:after="120" w:line="276"/>
        <w:ind w:firstLine="567"/>
        <w:jc w:val="both"/>
      </w:pPr>
      <w:r>
        <w:rPr>
          <w:rFonts w:ascii="Times New Roman" w:cs="Times New Roman" w:eastAsia="Times New Roman" w:hAnsi="Times New Roman"/>
          <w:sz w:val="28"/>
          <w:szCs w:val="28"/>
        </w:rPr>
        <w:t xml:space="preserve">Reja uch bosqichda tuziladi: (1) tahlil — kasallanishning ko'p yillik dinamikasi, mavsumiy ko'tarilish (kuz, qish-bahor) va yosh tarkibidagi siljish baholanadi, shunga ko'ra o'smirlar va yosh kattalarni emlash holati ham tekshiriladi [1]; (2) profilaktika — KPK ning ikki dozasi bo'yicha qamrovni oshirish, emlash muddatlari va dozalarini buzmaslik [1][2]; (3) o'choq — ajratish, aloqadorlarni 21 kun kuzatish va emlanmaganlarni aniqlash [1]. Kuz oldidan bolalar muassasalariga qabul qilinayotgan bolalarning emlanganligi alohida tekshiriladi, chunki kuzdagi ko'tarilish asosan tashkil etilgan jamoalarga jalb qilinish bilan bog'liq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Epidemik parotitda asosiy muammo belgisiz shakllar, emlashdan keyingi immunitetning so'nishi va kasallikning kattaroq yoshga siljishidir. Shu sababli ikki dozali emlash va qamrov nazorati, o'choqdagi tadbirlar hamda xavfli guruhlarni aniqlash rejaning asosi bo'ladi. Ajratish muddatlari bo'yicha darslik va CDC ma'lumotlari farq qiladi; O'zbekiston uchun rasmiy me'yor topilmadi (tasdiqlanmagan). Shuningdek, emlashdan keyin immunitet 6–8 yil saqlanishi haqidagi darslik ma'lumoti CDC ning kuzatilgan susayish haqidagi ma'lumotlari bilan mos keladi, bu ikkinchi doza va epidemik ko'rsatma bo'yicha qo'shimcha emlashning ahamiyatini ko'rsatadi.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17.8-bob «Epidemik parotit» (304–309-betlar).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Centers for Disease Control and Prevention. Clinical Overview of Mumps. URL: https://www.cdc.gov/mumps/hcp.html; Infection Control: Mumps. URL: https://www.cdc.gov/infection-control/hcp/healthcare-personnel-epidemiology-control/mumps.html (faqat qidiruv parchalari bo'yicha tasdiqlangan;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Centers for Disease Control and Prevention. Mumps Vaccine Recommendations. URL: https://www.cdc.gov/mumps/hcp/vaccine-considerations/index.html; CDC Training Q&amp;A. URL: https://www.cdc.gov/ncird-surveillance/resources/vpd-surv-training-qa.html (faqat qidiruv parchalari bo'yicha tasdiqlangan;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(2015), 32-modda. URL: https://lex.uz/docs/2732587. Manba: xayrullokomilov.uz/kutubxona, material № 201.</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72. Epidemik parotit va uning oldini olish choralari. Epidemiyaga qarshi chora-tadbirlarni rejalashtirish</dc:title>
  <dc:creator>Epidemiologiya</dc:creator>
  <cp:lastModifiedBy>Un-named</cp:lastModifiedBy>
  <cp:revision>1</cp:revision>
  <dcterms:created xsi:type="dcterms:W3CDTF">2026-10-30T05:28:43.015Z</dcterms:created>
  <dcterms:modified xsi:type="dcterms:W3CDTF">2026-10-30T05:28:43.015Z</dcterms:modified>
</cp:coreProperties>
</file>

<file path=docProps/custom.xml><?xml version="1.0" encoding="utf-8"?>
<Properties xmlns="http://schemas.openxmlformats.org/officeDocument/2006/custom-properties" xmlns:vt="http://schemas.openxmlformats.org/officeDocument/2006/docPropsVTypes"/>
</file>