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55. SEO va JS epidemiologiya bo'limining rasmiy hisobot hujjatlari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Sanitariya-epidemiologik osoyishtalik va jamoat salomatligi (SEO va JS) xizmati epidemiologiya bo'limining hujjatlari ikki guruhga bo'linadi: (1) yuqumli kasallik holatini ro'yxatga olish va epidemiologik tekshirish hujjatlari (birlamchi hisob shakllari); (2) bo'lim faoliyati va kasallanish ko'rsatkichlari bo'yicha davriy hisobotlar. Mazkur javob kutubxonadagi hujjatlarga tayanadi; kasallanish bo'yicha rasmiy statistik hisobot shakllarining (masalan, «1-shakl», «2-shakl» deb ataladiganlar) hozirgi tahrirdagi raqamlari va to'ldirish yo'riqnomalari alohida tekshirilmadi, shuning uchun ular «tasdiqlanmagan» deb belgilanadi.</w:t>
      </w:r>
    </w:p>
    <w:p>
      <w:pPr>
        <w:pStyle w:val="Heading2"/>
        <w:spacing w:after="100" w:before="200"/>
      </w:pPr>
      <w:r>
        <w:rPr>
          <w:rFonts w:ascii="Times New Roman" w:cs="Times New Roman" w:eastAsia="Times New Roman" w:hAnsi="Times New Roman"/>
          <w:b/>
          <w:bCs/>
          <w:sz w:val="28"/>
          <w:szCs w:val="28"/>
        </w:rPr>
        <w:t xml:space="preserve">Bo'limning hisobot bilan bog'liq vazifalari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Qo'mita darajasidagi epidemiologiya bo'limi boshlig'i bo'lim faoliyati bo'yicha bevosita Epidemiologiya va yuqumli kasalliklar profilaktikasi boshqarmasi boshlig'iga tizimli ravishda hisobot beradi; o'rnatilgan tartibda, boshqarma boshlig'i bilan kelishilgan holda, qo'mitaning tegishli bo'limlariga va yuqori turuvchi tashkilotlarga bo'lim faoliyati hamda barcha yuqumli va parazitar kasalliklar ko'rsatkichlari bo'yicha hisobotlar taqdim etadi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Bo'lim xodimlari hududiy boshqarmalar faoliyati bo'yicha hisobotlarni qabul qiladi, jamlaydi va tahliliy ma'lumotlar tayyorlaydi; hududiy boshqarmadagi bo'lim tuman (shahar) bo'limlarining hisobot hujjatlarini qabul qiladi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Bo'lim boshlig'ining lavozim yo'riqnomasi bo'yicha u sanitariya-epidemiologiya xizmati hududiy boshqarmalarining epidemiologik monitoring va profilaktika tadbirlarini tashkil etish sohasidagi faoliyati to'g'risida oylik, choraklik va yillik hisobotlarni qabul qilishda ishtirok etadi, hisobot ma'lumotlarini umumlashtiradi, kelgusi yilda amalga oshirilishi zarur tadbirlar bo'yicha axborot-tahliliy ma'lumot tayyorlaydi, hisobot yili yakunlarini muhokama qilish va keyingi yil ish rejasini tuzish bo'yicha seminarlarda qatnashadi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Bo'lim shuningdek emlash hisobotlarini olish, tahliliy hujjatlar tayyorlash va yuqori tashkilotlarga topshirish, haftalik, ommaviy va rejali emlashlar monitoringi va emlashdan keyingi asoratlar monitoringi bilan shug'ullanadi [2].</w:t>
      </w:r>
    </w:p>
    <w:p>
      <w:pPr>
        <w:pStyle w:val="Heading2"/>
        <w:spacing w:after="100" w:before="200"/>
      </w:pPr>
      <w:r>
        <w:rPr>
          <w:rFonts w:ascii="Times New Roman" w:cs="Times New Roman" w:eastAsia="Times New Roman" w:hAnsi="Times New Roman"/>
          <w:b/>
          <w:bCs/>
          <w:sz w:val="28"/>
          <w:szCs w:val="28"/>
        </w:rPr>
        <w:t xml:space="preserve">Epidemiologiya bo'limi hujjatlari (nomenklatura bo'yicha)</w:t>
      </w:r>
    </w:p>
    <w:p>
      <w:pPr>
        <w:spacing w:after="120" w:line="276"/>
        <w:ind w:firstLine="567"/>
        <w:jc w:val="both"/>
      </w:pPr>
      <w:r>
        <w:rPr>
          <w:rFonts w:ascii="Times New Roman" w:cs="Times New Roman" w:eastAsia="Times New Roman" w:hAnsi="Times New Roman"/>
          <w:sz w:val="28"/>
          <w:szCs w:val="28"/>
        </w:rPr>
        <w:t xml:space="preserve">2021-yildagi yig'majildlar nomenklaturasi loyihasining 16-bo'limida epidemiologiya bo'limi uchun quyidagi hujjat guruhlari ko'rsatilgan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Prezident farmon va qarorlari, Vazirlar Mahkamasi qarorlari — zarurat qolmaguncha saqlanadi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Uslubiy qo'llanmalar, xabarnoma va ko'rsatma xatlar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Sog'liqni saqlash vazirligi buyruqlari, Hay'at yig'ilishi va sanitariya-epidemiologiya kengashi qarorlari — doimiy saqlanadi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Respublika sanitariya-epidemiologiya kengashiga tayyorlangan ma'lumotlar va qarorlar — doimiy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Bo'lim nizomi va xodimlarning lavozim yo'riqnomalari — yangilari bilan almashtirilguncha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Bo'limning ish rejasi — 3 yil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Bo'limning oylik, choraklik va yillik hisobotlari — doimiy saqlanadi (nomenklaturada alohida band bilan)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Vazirliklar, idoralar, hududiy boshqarmalar va tizimdagi ilmiy-tadqiqot institutlari, markazlar bilan yozishmalar — 3 yil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O'tkazilgan tekshiruvlar bo'yicha dalolatnomalar — 10 yil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Axborot xatlari, ichki buyruqlar, fuqarolar va yuridik shaxslar murojaatlari va javob xatlari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Ayrim yuqumli va parazitar kasalliklar to'g'risidagi «1-tibbiyot shakli» bo'yicha oylik va yillik hisobotlar — nomenklaturada alohida band sifatida kiritilgan [1]. Shakl mazmuni (kasalliklar ro'yxati, ustunlar) hujjatda berilmagan va bu yerda tekshirilmadi (tasdiqlanmagan).</w:t>
      </w:r>
    </w:p>
    <w:p>
      <w:pPr>
        <w:spacing w:after="120" w:line="276"/>
        <w:ind w:firstLine="567"/>
        <w:jc w:val="both"/>
      </w:pPr>
      <w:r>
        <w:rPr>
          <w:rFonts w:ascii="Times New Roman" w:cs="Times New Roman" w:eastAsia="Times New Roman" w:hAnsi="Times New Roman"/>
          <w:sz w:val="28"/>
          <w:szCs w:val="28"/>
        </w:rPr>
        <w:t xml:space="preserve">Nomenklatura loyiha shaklida (imzo va sana to'ldirilmagan) bo'lgani uchun saqlash muddatlari rasmiy tasdiqlangan versiya bilan solishtirilmagan (tasdiqlanmagan).</w:t>
      </w:r>
    </w:p>
    <w:p>
      <w:pPr>
        <w:pStyle w:val="Heading2"/>
        <w:spacing w:after="100" w:before="200"/>
      </w:pPr>
      <w:r>
        <w:rPr>
          <w:rFonts w:ascii="Times New Roman" w:cs="Times New Roman" w:eastAsia="Times New Roman" w:hAnsi="Times New Roman"/>
          <w:b/>
          <w:bCs/>
          <w:sz w:val="28"/>
          <w:szCs w:val="28"/>
        </w:rPr>
        <w:t xml:space="preserve">Birlamchi hisob va tekshirish shakllari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058/u shakl — yuqumli kasallik bilan og'rigan bemor aniqlanganligi to'g'risidagi shoshilinch xabarnoma: ARI buyrug'ida shunday ta'riflanadi; og'ir o'tkir respirator infeksiyalar va yangi o'tkir respirator infeksiyaga shubha qilingan bemorlarni ro'yxatga olish shu xabarnoma asosida amalga oshiriladi [4]. Kasalxona ichi infeksiyasining har bir holati bo'yicha ham 058/u territorial SEO va JS markaziga yuboriladi, tug'ruqxona va yangi tug'ilganlar bilan bog'liq holatlarda esa telefon orqali 12 soat ichida, 058/u esa 24 soat ichida topshirilishi talab etiladi (rus tilidagi SanPiN nusxasi) [5].</w:t>
      </w:r>
    </w:p>
    <w:p>
      <w:pPr>
        <w:pStyle w:val="ListParagraph"/>
        <w:numPr>
          <w:ilvl w:val="0"/>
          <w:numId w:val="4"/>
        </w:numPr>
        <w:spacing w:after="60" w:line="276"/>
        <w:jc w:val="both"/>
      </w:pPr>
      <w:r>
        <w:rPr>
          <w:rFonts w:ascii="Times New Roman" w:cs="Times New Roman" w:eastAsia="Times New Roman" w:hAnsi="Times New Roman"/>
          <w:sz w:val="28"/>
          <w:szCs w:val="28"/>
        </w:rPr>
        <w:t xml:space="preserve">060/u shakl — yuqumli kasalliklar bilan og'rigan bemorlarni hisobga olish jurnali [4]; shoshilinch xabarnoma ma'lumoti darhol shu jurnalga kiritiladi va telefon orqali sog'liqni saqlash boshqaruv organi rahbariga yetkaziladi [6].</w:t>
      </w:r>
    </w:p>
    <w:p>
      <w:pPr>
        <w:pStyle w:val="ListParagraph"/>
        <w:numPr>
          <w:ilvl w:val="0"/>
          <w:numId w:val="4"/>
        </w:numPr>
        <w:spacing w:after="60" w:line="276"/>
        <w:jc w:val="both"/>
      </w:pPr>
      <w:r>
        <w:rPr>
          <w:rFonts w:ascii="Times New Roman" w:cs="Times New Roman" w:eastAsia="Times New Roman" w:hAnsi="Times New Roman"/>
          <w:sz w:val="28"/>
          <w:szCs w:val="28"/>
        </w:rPr>
        <w:t xml:space="preserve">025-2/u shakl — yakuniy (aniqlangan) tashxislarni ro'yxatga olish statistik talon; gripp-o'xshash kasalliklar, o'tkir respirator infeksiyalar bo'yicha DPMda individual, SEO va JS markazida umumiy hisobga olishning asosi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357/u shakl — yuqumli kasallik o'chog'ini epidemiologik tekshirish kartasi; toshmali tif va kana rikketsiozi o'choqlarida to'ldiriladi, tekshirish tugagach nusxalari yuqori bo'g'inga yuboriladi [8]; shu karta gepatit A, E va gelmintozlar bo'yicha buyruqlarda ham talab etilgan (bu javobga ular manba sifatida kiritilmagan).</w:t>
      </w:r>
    </w:p>
    <w:p>
      <w:pPr>
        <w:pStyle w:val="ListParagraph"/>
        <w:numPr>
          <w:ilvl w:val="0"/>
          <w:numId w:val="4"/>
        </w:numPr>
        <w:spacing w:after="60" w:line="276"/>
        <w:jc w:val="both"/>
      </w:pPr>
      <w:r>
        <w:rPr>
          <w:rFonts w:ascii="Times New Roman" w:cs="Times New Roman" w:eastAsia="Times New Roman" w:hAnsi="Times New Roman"/>
          <w:sz w:val="28"/>
          <w:szCs w:val="28"/>
        </w:rPr>
        <w:t xml:space="preserve">Favqulodda (navbatdan tashqari) xabarnomalar — o'tkir yuqumli kasallik, ovqatdan zaharlanish, o'tkir kasbiy zaharlanish, emlashga g'ayrioddiy reaksiya haqida axborot tegishli tartibda yuboriladi; ularning ro'yxati va miqdoriy ko'rsatkichlari 2009-yildagi 280-son buyruqda keltirilgani qo'llanmada aytilgan, buyruqning hozirgi tahriri tekshirilmadi (tasdiqlanmagan) [6].</w:t>
      </w:r>
    </w:p>
    <w:p>
      <w:pPr>
        <w:pStyle w:val="Heading2"/>
        <w:spacing w:after="100" w:before="200"/>
      </w:pPr>
      <w:r>
        <w:rPr>
          <w:rFonts w:ascii="Times New Roman" w:cs="Times New Roman" w:eastAsia="Times New Roman" w:hAnsi="Times New Roman"/>
          <w:b/>
          <w:bCs/>
          <w:sz w:val="28"/>
          <w:szCs w:val="28"/>
        </w:rPr>
        <w:t xml:space="preserve">Hududiy darajadagi boshqa idoraviy hisobotlar (dezinfeksiya misolida)</w:t>
      </w:r>
    </w:p>
    <w:p>
      <w:pPr>
        <w:spacing w:after="120" w:line="276"/>
        <w:ind w:firstLine="567"/>
        <w:jc w:val="both"/>
      </w:pPr>
      <w:r>
        <w:rPr>
          <w:rFonts w:ascii="Times New Roman" w:cs="Times New Roman" w:eastAsia="Times New Roman" w:hAnsi="Times New Roman"/>
          <w:sz w:val="28"/>
          <w:szCs w:val="28"/>
        </w:rPr>
        <w:t xml:space="preserve">SEO va JS xizmatining boshqa bo'limlari ham idoraviy statistika hisobotini yillik topshiradi. Masalan, 2021-yil 27-dekabrdagi 297-son buyruqqa ilova bo'yicha 21-SSV shakli «Dezinfeksion stansiya hisoboti» yillik; hududiy boshqarmalar uni har yili 20-fevralgacha, yo'riqnomaga ko'ra stansiyalar hududiy boshqarmalarga yanvarning 6–7-sanasigacha topshiradi; hisobotda shtatlar, lavozimlar va xodimlar tarkibi aks etadi, ma'lumotning maxfiyligi axborot oluvchi tomonidan kafolatlanadi [7]. Epidemiologiya bo'limi hisobot topshirish tartibi (muddatlar, shakllar raqami) alohida buyruqda belgilanadi, ammo bu buyruq kutubxonada topilmadi (tasdiqlanmagan).</w:t>
      </w:r>
    </w:p>
    <w:p>
      <w:pPr>
        <w:pStyle w:val="Heading2"/>
        <w:spacing w:after="100" w:before="200"/>
      </w:pPr>
      <w:r>
        <w:rPr>
          <w:rFonts w:ascii="Times New Roman" w:cs="Times New Roman" w:eastAsia="Times New Roman" w:hAnsi="Times New Roman"/>
          <w:b/>
          <w:bCs/>
          <w:sz w:val="28"/>
          <w:szCs w:val="28"/>
        </w:rPr>
        <w:t xml:space="preserve">Avj olish bo'yicha hisobot</w:t>
      </w:r>
    </w:p>
    <w:p>
      <w:pPr>
        <w:spacing w:after="120" w:line="276"/>
        <w:ind w:firstLine="567"/>
        <w:jc w:val="both"/>
      </w:pPr>
      <w:r>
        <w:rPr>
          <w:rFonts w:ascii="Times New Roman" w:cs="Times New Roman" w:eastAsia="Times New Roman" w:hAnsi="Times New Roman"/>
          <w:sz w:val="28"/>
          <w:szCs w:val="28"/>
        </w:rPr>
        <w:t xml:space="preserve">2019-yildagi qo'llanmaga ko'ra avj olish yoki hodisa tekshiruvi tugagach hisobot tayyorlanadi (7-qadam); tezkor javob guruhi kunlik hisobotni yuqori tashkilotlarga va manfaatdor idoralarga yuborib turadi, tekshiruv yakunida hisobotni barcha manfaatdor tomonlarga topshiradi [6]. Kasalxona ichi infeksiyalarining guruhli kasallanish (3 va undan ortiq holat, bitta manba va umumiy yuqish omillari) hollarida territorial markaz yuqori organlarga navbatdan tashqari xabar beradi [5]. Hisobot mazmuni: voqea tavsifi (vaqt, joy, shaxs), xulosa, ko'rilgan choralar va tavsiyalar — qo'llanmadagi talab [6].</w:t>
      </w:r>
    </w:p>
    <w:p>
      <w:pPr>
        <w:pStyle w:val="Heading2"/>
        <w:spacing w:after="100" w:before="200"/>
      </w:pPr>
      <w:r>
        <w:rPr>
          <w:rFonts w:ascii="Times New Roman" w:cs="Times New Roman" w:eastAsia="Times New Roman" w:hAnsi="Times New Roman"/>
          <w:b/>
          <w:bCs/>
          <w:sz w:val="28"/>
          <w:szCs w:val="28"/>
        </w:rPr>
        <w:t xml:space="preserve">Hisobot va hujjatlarni yuritish bo'yicha umumiy qoidalar</w:t>
      </w:r>
    </w:p>
    <w:p>
      <w:pPr>
        <w:pStyle w:val="ListParagraph"/>
        <w:numPr>
          <w:ilvl w:val="0"/>
          <w:numId w:val="5"/>
        </w:numPr>
        <w:spacing w:after="60" w:line="276"/>
        <w:jc w:val="both"/>
      </w:pPr>
      <w:r>
        <w:rPr>
          <w:rFonts w:ascii="Times New Roman" w:cs="Times New Roman" w:eastAsia="Times New Roman" w:hAnsi="Times New Roman"/>
          <w:sz w:val="28"/>
          <w:szCs w:val="28"/>
        </w:rPr>
        <w:t xml:space="preserve">Hisobotda yuqumli kasalliklar bo'yicha epidemiologik vaziyat va aholi orasida kasalliklarning oldini olish chora-tadbirlari haqida ma'lumot aks etadi; dezinfeksiya bo'limi nizomida ham shunday ma'lumotni xizmat boshlig'iga taqdim etish majburiyati belgilangan [2][7].</w:t>
      </w:r>
    </w:p>
    <w:p>
      <w:pPr>
        <w:pStyle w:val="ListParagraph"/>
        <w:numPr>
          <w:ilvl w:val="0"/>
          <w:numId w:val="5"/>
        </w:numPr>
        <w:spacing w:after="60" w:line="276"/>
        <w:jc w:val="both"/>
      </w:pPr>
      <w:r>
        <w:rPr>
          <w:rFonts w:ascii="Times New Roman" w:cs="Times New Roman" w:eastAsia="Times New Roman" w:hAnsi="Times New Roman"/>
          <w:sz w:val="28"/>
          <w:szCs w:val="28"/>
        </w:rPr>
        <w:t xml:space="preserve">Elektron hujjat aylanishini amalga oshirish va hujjatlarni saqlash bo'lim boshlig'ining vazifalaridan biri [3].</w:t>
      </w:r>
    </w:p>
    <w:p>
      <w:pPr>
        <w:pStyle w:val="ListParagraph"/>
        <w:numPr>
          <w:ilvl w:val="0"/>
          <w:numId w:val="5"/>
        </w:numPr>
        <w:spacing w:after="60" w:line="276"/>
        <w:jc w:val="both"/>
      </w:pPr>
      <w:r>
        <w:rPr>
          <w:rFonts w:ascii="Times New Roman" w:cs="Times New Roman" w:eastAsia="Times New Roman" w:hAnsi="Times New Roman"/>
          <w:sz w:val="28"/>
          <w:szCs w:val="28"/>
        </w:rPr>
        <w:t xml:space="preserve">Tekshiruvlar bo'yicha dalolatnomalar 10 yil saqlanadi, hisobotlar doimiy saqlanadi (nomenklatura loyihasi)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Epidemiologiya bo'limining rasmiy hisobot hujjatlari: oylik, choraklik va yillik faoliyat hisobotlari, kasallanish ko'rsatkichlari bo'yicha hisobotlar, emlash hisobotlari, avj olish bo'yicha hisobotlar, tekshiruv dalolatnomalari hamda birlamchi shakllar (058/u, 060/u, 025-2/u, 357/u). Hisobotlar hududiy bo'limdan boshqarmaga, boshqarmadan qo'mita va Sog'liqni saqlash vazirligiga yuqoriga uzatiladi. Keltirilgan hujjatlar 2012–2023-yillarga oid; rasmiy statistik shakllarning (1-tibbiyot shakli va boshqalar) hozirgi raqami, ustunlari, muddatlari bu javobda tasdiqlanmagan va rasmiy hujjatdan tekshirilishi kerak.</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SEO va JS xizmati yig'majildlar nomenklaturasi (2021-yil), 16-bo'lim «Epidemiologiya bo'limi». Manba: xayrullokomilov.uz/kutubxona, material № 1292 (matn kirill yozuvida; loyiha shakli, imzo va sanasi to'ldirilmagan nusxa).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vazirligi huzuridagi SEO va JS qo'mitasining 2023-yil 23-dekabrdagi 79-son buyrug'iga 14- va 15-ilovalar: Epidemiologiya boshqarmasi va bo'limlari to'g'risida nizomlar. Manba: xayrullokomilov.uz/kutubxona, material № 307 va № 308.</w:t>
      </w:r>
    </w:p>
    <w:p>
      <w:pPr>
        <w:pStyle w:val="ListParagraph"/>
        <w:numPr>
          <w:ilvl w:val="0"/>
          <w:numId w:val="6"/>
        </w:numPr>
        <w:spacing w:after="80" w:line="260"/>
      </w:pPr>
      <w:r>
        <w:rPr>
          <w:rFonts w:ascii="Times New Roman" w:cs="Times New Roman" w:eastAsia="Times New Roman" w:hAnsi="Times New Roman"/>
          <w:sz w:val="28"/>
          <w:szCs w:val="28"/>
        </w:rPr>
        <w:t xml:space="preserve">Epidemiologiya bo'limi boshlig'i (vrach-epidemiolog) lavozim yo'riqnomasi. Manba: xayrullokomilov.uz/kutubxona, material № 1239 (matn kirill yozuvida; sanasi ko'rsatilmagan).</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2014-yil 14-iyuldagi 242-son buyrug'i: o'tkir respirator infeksiyalarning epidemiologik nazoratini takomillashtirish (qisqartmalar va 2-bo'lim). Manba: xayrullokomilov.uz/kutubxona, material № 462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SanPiN RUz № 0342-17 «Profilaktika vnutribolnichnykh infeksiy» (0304-12 o'rniga), 11.32–11.33 va 6.2-bandlar (rus tilidagi nusxa). Manba: xayrullokomilov.uz/kutubxona, material № 2729.</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vazirligi, JSST Yevropa mintaqaviy byurosi, Toshkent vrachlar malakasini oshirish instituti. Yuqumli kasalliklar avj olishlari va hodisalarini tekshirish va javob choralarini tashkil etish bo'yicha qo'llanma (rus tilida). Toshkent, 2019 (1-qadam, 2-ilova). Manba: xayrullokomilov.uz/kutubxona, material № 1426 (OCR matni).</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2021-yil 27-dekabrdagi 297-son buyrug'iga ilova: idoraviy statistika hisoboti, 21-SSV shakli «Dezinfeksion stansiya hisoboti» va yo'riqnoma. Manba: xayrullokomilov.uz/kutubxona, material № 1637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2012-yil 5-yanvardagi 6-son buyrug'i: rikketsioz kasalliklari va pedikulyozga qarshi kurashish (4–5-bandlar). Manba: xayrullokomilov.uz/kutubxona, material № 517 (matn rus tilida).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55. SEO va JS epidemiologiya bo'limining rasmiy hisobot hujjatlari</dc:title>
  <dc:creator>Epidemiologiya</dc:creator>
  <cp:lastModifiedBy>Un-named</cp:lastModifiedBy>
  <cp:revision>1</cp:revision>
  <dcterms:created xsi:type="dcterms:W3CDTF">2026-10-30T13:20:27.715Z</dcterms:created>
  <dcterms:modified xsi:type="dcterms:W3CDTF">2026-10-30T13:20:27.715Z</dcterms:modified>
</cp:coreProperties>
</file>

<file path=docProps/custom.xml><?xml version="1.0" encoding="utf-8"?>
<Properties xmlns="http://schemas.openxmlformats.org/officeDocument/2006/custom-properties" xmlns:vt="http://schemas.openxmlformats.org/officeDocument/2006/docPropsVTypes"/>
</file>