
<file path=[Content_Types].xml><?xml version="1.0" encoding="utf-8"?>
<Types xmlns="http://schemas.openxmlformats.org/package/2006/content-types">
  <Default ContentType="image/png" Extension="png"/>
  <Default ContentType="image/jpeg" Extension="jpeg"/>
  <Default ContentType="image/jpeg" Extension="jpg"/>
  <Default ContentType="image/bmp" Extension="bmp"/>
  <Default ContentType="image/gif" Extension="gif"/>
  <Default ContentType="image/svg+xml" Extension="svg"/>
  <Default ContentType="application/vnd.openxmlformats-package.relationships+xml" Extension="rels"/>
  <Default ContentType="application/xml" Extension="xml"/>
  <Default ContentType="application/vnd.openxmlformats-officedocument.obfuscatedFont" Extension="odttf"/>
  <Override ContentType="application/vnd.openxmlformats-officedocument.wordprocessingml.document.main+xml" PartName="/word/document.xml"/>
  <Override ContentType="application/vnd.openxmlformats-officedocument.wordprocessingml.styles+xml" PartName="/word/styles.xml"/>
  <Override ContentType="application/vnd.openxmlformats-package.core-properties+xml" PartName="/docProps/core.xml"/>
  <Override ContentType="application/vnd.openxmlformats-officedocument.custom-properties+xml" PartName="/docProps/custom.xml"/>
  <Override ContentType="application/vnd.openxmlformats-officedocument.extended-properties+xml" PartName="/docProps/app.xml"/>
  <Override ContentType="application/vnd.openxmlformats-officedocument.wordprocessingml.numbering+xml" PartName="/word/numbering.xml"/>
  <Override ContentType="application/vnd.openxmlformats-officedocument.wordprocessingml.footnotes+xml" PartName="/word/footnotes.xml"/>
  <Override ContentType="application/vnd.openxmlformats-officedocument.wordprocessingml.endnotes+xml" PartName="/word/endnotes.xml"/>
  <Override ContentType="application/vnd.openxmlformats-officedocument.wordprocessingml.settings+xml" PartName="/word/settings.xml"/>
  <Override ContentType="application/vnd.openxmlformats-officedocument.wordprocessingml.fontTable+xml" PartName="/word/fontTable.xml"/>
  <Override ContentType="application/vnd.openxmlformats-officedocument.theme+xml" PartName="/word/theme/theme1.xml"/>
</Types>
</file>

<file path=_rels/.rels><?xml version="1.0" encoding="UTF-8"?><Relationships xmlns="http://schemas.openxmlformats.org/package/2006/relationships"><Relationship Id="rId1" Type="http://schemas.openxmlformats.org/officeDocument/2006/relationships/officeDocument" Target="word/document.xml"/><Relationship Id="rId2" Type="http://schemas.openxmlformats.org/package/2006/relationships/metadata/core-properties" Target="docProps/core.xml"/><Relationship Id="rId3" Type="http://schemas.openxmlformats.org/officeDocument/2006/relationships/extended-properties" Target="docProps/app.xml"/><Relationship Id="rId4" Type="http://schemas.openxmlformats.org/officeDocument/2006/relationships/custom-properties" Target="docProps/custom.xml"/></Relationships>
</file>

<file path=word/document.xml><?xml version="1.0" encoding="utf-8"?>
<w:document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aink="http://schemas.microsoft.com/office/drawing/2016/ink" xmlns:am3d="http://schemas.microsoft.com/office/drawing/2017/model3d"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p14">
  <w:body>
    <w:p>
      <w:pPr>
        <w:pStyle w:val="Heading1"/>
        <w:spacing w:after="240"/>
        <w:jc w:val="center"/>
      </w:pPr>
      <w:r>
        <w:rPr>
          <w:rFonts w:ascii="Times New Roman" w:cs="Times New Roman" w:eastAsia="Times New Roman" w:hAnsi="Times New Roman"/>
          <w:b/>
          <w:bCs/>
          <w:sz w:val="28"/>
          <w:szCs w:val="28"/>
        </w:rPr>
        <w:t xml:space="preserve">8. Epidemik jarayonning ta'rifi, kasallikning yuqish yo'liga qarab, epidemiyaga qarshi choralarning xususiyatlari</w:t>
      </w:r>
    </w:p>
    <w:p>
      <w:pPr>
        <w:pStyle w:val="Heading2"/>
        <w:spacing w:after="100" w:before="200"/>
      </w:pPr>
      <w:r>
        <w:rPr>
          <w:rFonts w:ascii="Times New Roman" w:cs="Times New Roman" w:eastAsia="Times New Roman" w:hAnsi="Times New Roman"/>
          <w:b/>
          <w:bCs/>
          <w:sz w:val="28"/>
          <w:szCs w:val="28"/>
        </w:rPr>
        <w:t xml:space="preserve">Kirish</w:t>
      </w:r>
    </w:p>
    <w:p>
      <w:pPr>
        <w:spacing w:after="120" w:line="276"/>
        <w:ind w:firstLine="567"/>
        <w:jc w:val="both"/>
      </w:pPr>
      <w:r>
        <w:rPr>
          <w:rFonts w:ascii="Times New Roman" w:cs="Times New Roman" w:eastAsia="Times New Roman" w:hAnsi="Times New Roman"/>
          <w:sz w:val="28"/>
          <w:szCs w:val="28"/>
        </w:rPr>
        <w:t xml:space="preserve">Yuqumli kasalliklarga qarshi kurashda chora-tadbirlar qo'zg'atuvchining odamdan odamga qanday o'tishiga qarab tanlanadi. Shu sababli epidemik jarayon tushunchasi va yuqish mexanizmlarini bilish epidemiyaga qarshi choralarni to'g'ri rejalashtirish uchun zarur [1, 2].</w:t>
      </w:r>
    </w:p>
    <w:p>
      <w:pPr>
        <w:pStyle w:val="Heading2"/>
        <w:spacing w:after="100" w:before="200"/>
      </w:pPr>
      <w:r>
        <w:rPr>
          <w:rFonts w:ascii="Times New Roman" w:cs="Times New Roman" w:eastAsia="Times New Roman" w:hAnsi="Times New Roman"/>
          <w:b/>
          <w:bCs/>
          <w:sz w:val="28"/>
          <w:szCs w:val="28"/>
        </w:rPr>
        <w:t xml:space="preserve">Epidemik jarayonning ta'rifi</w:t>
      </w:r>
    </w:p>
    <w:p>
      <w:pPr>
        <w:spacing w:after="120" w:line="276"/>
        <w:ind w:firstLine="567"/>
        <w:jc w:val="both"/>
      </w:pPr>
      <w:r>
        <w:rPr>
          <w:rFonts w:ascii="Times New Roman" w:cs="Times New Roman" w:eastAsia="Times New Roman" w:hAnsi="Times New Roman"/>
          <w:sz w:val="28"/>
          <w:szCs w:val="28"/>
        </w:rPr>
        <w:t xml:space="preserve">Darslikka ko'ra, epidemik jarayon parazit va xo'jayin populyatsiyalarining o'zaro munosabatini aks ettiruvchi infeksion holatlarning ko'pligi sifatida namoyon bo'ladi. Uning minimal tuzilmasi (elementar katakchasi) ketma-ket kelgan uch qismdan iborat: infeksiya manbai, yuqish mexanizmi va moyil organizm; biri uzilsa jarayon to'xtaydi [1]. Epidemik jarayonning uzluksizligi parazitni qabul qilgan odam organizmining yangi infeksiya manbaiga aylanishi bilan ta'minlanadi [1]. CDC adabiyotida xuddi shu tuzilma yuqish zanjiri deb ataladi: rezervuar, chiqish eshigi, yuqish usuli, kirish eshigi va moyil xo'jayin [2].</w:t>
      </w:r>
    </w:p>
    <w:p>
      <w:pPr>
        <w:pStyle w:val="Heading2"/>
        <w:spacing w:after="100" w:before="200"/>
      </w:pPr>
      <w:r>
        <w:rPr>
          <w:rFonts w:ascii="Times New Roman" w:cs="Times New Roman" w:eastAsia="Times New Roman" w:hAnsi="Times New Roman"/>
          <w:b/>
          <w:bCs/>
          <w:sz w:val="28"/>
          <w:szCs w:val="28"/>
        </w:rPr>
        <w:t xml:space="preserve">Yuqish mexanizmi va yo'llari</w:t>
      </w:r>
    </w:p>
    <w:p>
      <w:pPr>
        <w:spacing w:after="120" w:line="276"/>
        <w:ind w:firstLine="567"/>
        <w:jc w:val="both"/>
      </w:pPr>
      <w:r>
        <w:rPr>
          <w:rFonts w:ascii="Times New Roman" w:cs="Times New Roman" w:eastAsia="Times New Roman" w:hAnsi="Times New Roman"/>
          <w:sz w:val="28"/>
          <w:szCs w:val="28"/>
        </w:rPr>
        <w:t xml:space="preserve">Yuqish mexanizmi qo'zg'atuvchining evolyutsion shakllangan tarqalish usuli bo'lib, parazit odamlarning yashash sharoitiga qancha moslashgan bo'lsa, populyatsiyada shuncha tez tarqaladi [1]. Zoonozlarda bitta qo'zg'atuvchi bir necha mexanizm orqali tarqalishi, asosiy va qo'shimcha mexanizmning ahamiyati esa sharoitga qarab o'zgarishi mumkin. Masalan, tulyaremiya tabiiy o'choqlarida asosan transmissiv mexanizm (ixod kanalari) ishlaydi, ammo ayrim sharoitlarda qo'zg'atuvchi oziq-ovqat va suv orqali ham yuqadi; hayvonlarda kuydirgi odatda ichak infeksiyasi, odamlarda esa 98–99% hollarda teri shaklida, ya'ni asosan kontakt yo'li bilan kechadi [1].</w:t>
      </w:r>
    </w:p>
    <w:p>
      <w:pPr>
        <w:spacing w:after="120" w:line="276"/>
        <w:ind w:firstLine="567"/>
        <w:jc w:val="both"/>
      </w:pPr>
      <w:r>
        <w:rPr>
          <w:rFonts w:ascii="Times New Roman" w:cs="Times New Roman" w:eastAsia="Times New Roman" w:hAnsi="Times New Roman"/>
          <w:sz w:val="28"/>
          <w:szCs w:val="28"/>
        </w:rPr>
        <w:t xml:space="preserve">Asosiy mexanizmlar va ularga xos misollar quyidagicha [1, 2]:</w:t>
      </w:r>
    </w:p>
    <w:p>
      <w:pPr>
        <w:pStyle w:val="ListParagraph"/>
        <w:numPr>
          <w:ilvl w:val="0"/>
          <w:numId w:val="2"/>
        </w:numPr>
        <w:spacing w:after="60" w:line="276"/>
        <w:jc w:val="both"/>
      </w:pPr>
      <w:r>
        <w:rPr>
          <w:rFonts w:ascii="Times New Roman" w:cs="Times New Roman" w:eastAsia="Times New Roman" w:hAnsi="Times New Roman"/>
          <w:sz w:val="28"/>
          <w:szCs w:val="28"/>
        </w:rPr>
        <w:t xml:space="preserve">Fekal-oral mexanizm: shigellyozlar oziq-ovqat, suv va maishiy aloqa yo'llari bilan tarqaladi; vabo asosan suv orqali, ayrim hollarda oziq-ovqat orqali yuqadi; virusli gepatit A qo'zg'atuvchisi suv va oziq-ovqat bilan og'iz orqali kiradi.</w:t>
      </w:r>
    </w:p>
    <w:p>
      <w:pPr>
        <w:pStyle w:val="ListParagraph"/>
        <w:numPr>
          <w:ilvl w:val="0"/>
          <w:numId w:val="2"/>
        </w:numPr>
        <w:spacing w:after="60" w:line="276"/>
        <w:jc w:val="both"/>
      </w:pPr>
      <w:r>
        <w:rPr>
          <w:rFonts w:ascii="Times New Roman" w:cs="Times New Roman" w:eastAsia="Times New Roman" w:hAnsi="Times New Roman"/>
          <w:sz w:val="28"/>
          <w:szCs w:val="28"/>
        </w:rPr>
        <w:t xml:space="preserve">Havo-tomchi (aerogen, aspiratsion, aerozol) mexanizm: qo'zg'atuvchilar nafas olish organlarida joylashganida ishga tushadi; havo faqat yuqish muhiti bo'lib xizmat qiladi.</w:t>
      </w:r>
    </w:p>
    <w:p>
      <w:pPr>
        <w:pStyle w:val="ListParagraph"/>
        <w:numPr>
          <w:ilvl w:val="0"/>
          <w:numId w:val="2"/>
        </w:numPr>
        <w:spacing w:after="60" w:line="276"/>
        <w:jc w:val="both"/>
      </w:pPr>
      <w:r>
        <w:rPr>
          <w:rFonts w:ascii="Times New Roman" w:cs="Times New Roman" w:eastAsia="Times New Roman" w:hAnsi="Times New Roman"/>
          <w:sz w:val="28"/>
          <w:szCs w:val="28"/>
        </w:rPr>
        <w:t xml:space="preserve">Transmissiv (qon orqali) mexanizm: yuqishda bo'g'imoyoqlilar — hasharotlar va kanalar qatnashadi.</w:t>
      </w:r>
    </w:p>
    <w:p>
      <w:pPr>
        <w:pStyle w:val="ListParagraph"/>
        <w:numPr>
          <w:ilvl w:val="0"/>
          <w:numId w:val="2"/>
        </w:numPr>
        <w:spacing w:after="60" w:line="276"/>
        <w:jc w:val="both"/>
      </w:pPr>
      <w:r>
        <w:rPr>
          <w:rFonts w:ascii="Times New Roman" w:cs="Times New Roman" w:eastAsia="Times New Roman" w:hAnsi="Times New Roman"/>
          <w:sz w:val="28"/>
          <w:szCs w:val="28"/>
        </w:rPr>
        <w:t xml:space="preserve">Kontakt mexanizm: teri va shilliq qavatlar orqali, hayvonlarni parvarishlash yoki xom ashyo bilan ishlash chog'ida yuqadi.</w:t>
      </w:r>
    </w:p>
    <w:p>
      <w:pPr>
        <w:spacing w:after="120" w:line="276"/>
        <w:ind w:firstLine="567"/>
        <w:jc w:val="both"/>
      </w:pPr>
      <w:r>
        <w:rPr>
          <w:rFonts w:ascii="Times New Roman" w:cs="Times New Roman" w:eastAsia="Times New Roman" w:hAnsi="Times New Roman"/>
          <w:sz w:val="28"/>
          <w:szCs w:val="28"/>
        </w:rPr>
        <w:t xml:space="preserve">Xalqaro tasnifda yuqish bevosita (aloqa, tomchi) va bilvosita (havo, vosita, vektor) turlarga bo'linadi; mexanik vektorlarga misol — Shigella'ni oyoqlarida tashuvchi pashshalar, biologik yuqishga misol — bezgak plazmodiysi [2].</w:t>
      </w:r>
    </w:p>
    <w:p>
      <w:pPr>
        <w:pStyle w:val="Heading2"/>
        <w:spacing w:after="100" w:before="200"/>
      </w:pPr>
      <w:r>
        <w:rPr>
          <w:rFonts w:ascii="Times New Roman" w:cs="Times New Roman" w:eastAsia="Times New Roman" w:hAnsi="Times New Roman"/>
          <w:b/>
          <w:bCs/>
          <w:sz w:val="28"/>
          <w:szCs w:val="28"/>
        </w:rPr>
        <w:t xml:space="preserve">Yuqish yo'liga qarab epidemiyaga qarshi choralarning xususiyatlari</w:t>
      </w:r>
    </w:p>
    <w:p>
      <w:pPr>
        <w:spacing w:after="120" w:line="276"/>
        <w:ind w:firstLine="567"/>
        <w:jc w:val="both"/>
      </w:pPr>
      <w:r>
        <w:rPr>
          <w:rFonts w:ascii="Times New Roman" w:cs="Times New Roman" w:eastAsia="Times New Roman" w:hAnsi="Times New Roman"/>
          <w:sz w:val="28"/>
          <w:szCs w:val="28"/>
        </w:rPr>
        <w:t xml:space="preserve">Yuqish yo'llari va chiqish-kirish eshiklarini bilish nazorat choralarini aniqlash uchun asos beradi. Odatda choralar zanjirning aralashuvga eng sezgir bo'g'iniga qaratiladi [2]. Darslikdagi tizimlashtirishga ko'ra, epidemiyaga qarshi chora-tadbirlar uch yo'nalishda amalga oshiriladi: manbaga, yuqish yo'llariga va moyil jamoaga nisbatan [1].</w:t>
      </w:r>
    </w:p>
    <w:p>
      <w:pPr>
        <w:pStyle w:val="ListParagraph"/>
        <w:numPr>
          <w:ilvl w:val="0"/>
          <w:numId w:val="3"/>
        </w:numPr>
        <w:spacing w:after="60" w:line="276"/>
        <w:jc w:val="both"/>
      </w:pPr>
      <w:r>
        <w:rPr>
          <w:rFonts w:ascii="Times New Roman" w:cs="Times New Roman" w:eastAsia="Times New Roman" w:hAnsi="Times New Roman"/>
          <w:sz w:val="28"/>
          <w:szCs w:val="28"/>
        </w:rPr>
        <w:t xml:space="preserve">Fekal-oral yuqishda asosiy e'tibor yuqish yo'llariga qaratiladi: umumsanitariya tadbirlari (suv ta'minoti, ovqatlanish, chiqindilarni olib chiqish), joriy va yakuniy dezinfeksiya, sanitariya-veterinariya tadbirlari. CDC tavsiyasiga ko'ra, fekal-oral yuqishning oldini olish uchun muhitni qayta tashkil etish va xulq-atvorni o'zgartirish (qo'l yuvish) yetakchi chora hisoblanadi [1, 2]. Darslikda ich terlama va virusli gepatit A bilan kasallanish darajasi suvni zararsizlantirish sifatiga to'liq bog'liqligi ta'kidlanadi [1].</w:t>
      </w:r>
    </w:p>
    <w:p>
      <w:pPr>
        <w:pStyle w:val="ListParagraph"/>
        <w:numPr>
          <w:ilvl w:val="0"/>
          <w:numId w:val="3"/>
        </w:numPr>
        <w:spacing w:after="60" w:line="276"/>
        <w:jc w:val="both"/>
      </w:pPr>
      <w:r>
        <w:rPr>
          <w:rFonts w:ascii="Times New Roman" w:cs="Times New Roman" w:eastAsia="Times New Roman" w:hAnsi="Times New Roman"/>
          <w:sz w:val="28"/>
          <w:szCs w:val="28"/>
        </w:rPr>
        <w:t xml:space="preserve">Havo-tomchi yuqishda bemorni ajratish va izolyatsiya choralari muhim; ventilyatsiyani o'zgartirish, havoni filtrlash yoki ishlov berish kabi usullar ham qo'llanadi [2]. Darslikda aytilishicha, maxsus profilaktikasi bo'lmagan, boshqarib bo'lmaydigan havo-tomchi infeksiyalaridan aholi eng ko'p azob chekadi, emlash esa moyil organizmga ta'sir qiluvchi asosiy vosita (qizamiq, poliomielit misolida) hisoblanadi [1].</w:t>
      </w:r>
    </w:p>
    <w:p>
      <w:pPr>
        <w:pStyle w:val="ListParagraph"/>
        <w:numPr>
          <w:ilvl w:val="0"/>
          <w:numId w:val="3"/>
        </w:numPr>
        <w:spacing w:after="60" w:line="276"/>
        <w:jc w:val="both"/>
      </w:pPr>
      <w:r>
        <w:rPr>
          <w:rFonts w:ascii="Times New Roman" w:cs="Times New Roman" w:eastAsia="Times New Roman" w:hAnsi="Times New Roman"/>
          <w:sz w:val="28"/>
          <w:szCs w:val="28"/>
        </w:rPr>
        <w:t xml:space="preserve">Transmissiv yuqishda vektor populyatsiyasini nazorat qilish, himoya kiyimi va repellentlardan foydalanish, tabiiy o'choqlarda epizootologik kuzatuv va deratizatsiya o'tkaziladi [1, 2].</w:t>
      </w:r>
    </w:p>
    <w:p>
      <w:pPr>
        <w:pStyle w:val="ListParagraph"/>
        <w:numPr>
          <w:ilvl w:val="0"/>
          <w:numId w:val="3"/>
        </w:numPr>
        <w:spacing w:after="60" w:line="276"/>
        <w:jc w:val="both"/>
      </w:pPr>
      <w:r>
        <w:rPr>
          <w:rFonts w:ascii="Times New Roman" w:cs="Times New Roman" w:eastAsia="Times New Roman" w:hAnsi="Times New Roman"/>
          <w:sz w:val="28"/>
          <w:szCs w:val="28"/>
        </w:rPr>
        <w:t xml:space="preserve">Kontakt yuqishda bemor yoki hayvon bilan aloqani cheklash, joriy va yakuniy dezinfeksiya, shaxsiy himoya vositalari va sanitariya-veterinariya tadbirlari qo'llanadi [1, 2].</w:t>
      </w:r>
    </w:p>
    <w:p>
      <w:pPr>
        <w:pStyle w:val="Heading2"/>
        <w:spacing w:after="100" w:before="200"/>
      </w:pPr>
      <w:r>
        <w:rPr>
          <w:rFonts w:ascii="Times New Roman" w:cs="Times New Roman" w:eastAsia="Times New Roman" w:hAnsi="Times New Roman"/>
          <w:b/>
          <w:bCs/>
          <w:sz w:val="28"/>
          <w:szCs w:val="28"/>
        </w:rPr>
        <w:t xml:space="preserve">Kirish eshigini himoyalash va vektor nazoratining cheklovlari</w:t>
      </w:r>
    </w:p>
    <w:p>
      <w:pPr>
        <w:spacing w:after="120" w:line="276"/>
        <w:ind w:firstLine="567"/>
        <w:jc w:val="both"/>
      </w:pPr>
      <w:r>
        <w:rPr>
          <w:rFonts w:ascii="Times New Roman" w:cs="Times New Roman" w:eastAsia="Times New Roman" w:hAnsi="Times New Roman"/>
          <w:sz w:val="28"/>
          <w:szCs w:val="28"/>
        </w:rPr>
        <w:t xml:space="preserve">Ayrim choralar qo'zg'atuvchining kirish eshigini himoya qiladi: malyariya bilan kasallangan hududlarda to'rli parda (bed net), tish shifokorining niqobi va qo'lqopi, Layme kasalligi va G'arbiy Nil isitmasining oldini olishda uzun yeng, uzun shim va repellentlar shular jumlasidandir [2]. Transmissiv infeksiyalarda vektor nazoratining cheklovlarini ham hisobga olish zarur: darslikka ko'ra, insektitsidlardan keng foydalanishdan ekologik va iqtisodiy sabablarga ko'ra amalda voz kechilgan, chunki ochiq tabiatda chivinlarni qirish imkonsiz, bo'g'imoyoqlilar populyatsiyasi esa 2–3 yildan keyin tiklanadi; insektitsidlarni mahalliy (aholi punktlari yaqinidagi kichik hududlarda) qo'llash esa inkor etilmaydi [1]. Kasalxona ichi infeksiyalarida qo'llarni yuvish va dezinfeksiya qilish hal qiluvchi: I. Zemmelveys 1847-yilda buni tahliliy epidemiologik tadqiqot bilan isbotlagan [1].</w:t>
      </w:r>
    </w:p>
    <w:p>
      <w:pPr>
        <w:pStyle w:val="Heading2"/>
        <w:spacing w:after="100" w:before="200"/>
      </w:pPr>
      <w:r>
        <w:rPr>
          <w:rFonts w:ascii="Times New Roman" w:cs="Times New Roman" w:eastAsia="Times New Roman" w:hAnsi="Times New Roman"/>
          <w:b/>
          <w:bCs/>
          <w:sz w:val="28"/>
          <w:szCs w:val="28"/>
        </w:rPr>
        <w:t xml:space="preserve">Dezinfeksiya, izolyatsiya va emlashning o'rni</w:t>
      </w:r>
    </w:p>
    <w:p>
      <w:pPr>
        <w:spacing w:after="120" w:line="276"/>
        <w:ind w:firstLine="567"/>
        <w:jc w:val="both"/>
      </w:pPr>
      <w:r>
        <w:rPr>
          <w:rFonts w:ascii="Times New Roman" w:cs="Times New Roman" w:eastAsia="Times New Roman" w:hAnsi="Times New Roman"/>
          <w:sz w:val="28"/>
          <w:szCs w:val="28"/>
        </w:rPr>
        <w:t xml:space="preserve">Darslikda dezinfeksiya strategiyasi o'zgarib, o'choqlarda barcha obyektlarni ommaviy zararsizlantirish o'rniga faqat yuqish omili bo'lishi mumkin bo'lgan buyumlar dezinfeksiya qilinishi qayd etilgan. Qo'zg'atuvchi tashqi muhitda chidamsiz bo'lsa, tashqi muhitni zararsizlantirish zarurati yo'qoladi; populyatsion tadqiqotlar qizamiq va meningokokk infeksiyasida dezinfeksiyaning foydasizligini ko'rsatgan, difteriya o'choqlarida uning maqsadga muvofiqligi haqida ishonchli ma'lumot yo'q [1].</w:t>
      </w:r>
    </w:p>
    <w:p>
      <w:pPr>
        <w:spacing w:after="120" w:line="276"/>
        <w:ind w:firstLine="567"/>
        <w:jc w:val="both"/>
      </w:pPr>
      <w:r>
        <w:rPr>
          <w:rFonts w:ascii="Times New Roman" w:cs="Times New Roman" w:eastAsia="Times New Roman" w:hAnsi="Times New Roman"/>
          <w:sz w:val="28"/>
          <w:szCs w:val="28"/>
        </w:rPr>
        <w:t xml:space="preserve">Izolyatsiya birinchi zanjirga qaratilgan chora, himoya (protektiv) izolyatsiya esa uchinchi zanjirga qaratiladi; barcha yuqumli kasalliklar ham izolyatsiyani talab qilmaydi, ayrim holatlarda (A guruh streptokokklari, meningokokk, Haemophilus influenzae) samarali davo boshlangach 24 soatdan keyin izolyatsiyani to'xtatish mumkin [1]. Moyil jamoaga nisbatan chora — reja bo'yicha va epidemik ko'rsatmalar bo'yicha emlash hamda shoshilinch profilaktika [1]. O'zbekiston qonunchiligiga ko'ra o'choqlarda gumon qilinganlarni aniqlash, ajratish va kasalxonaga yotqizish, muloqotda bo'lganlarni laboratoriya tekshiruvidan o'tkazish va tibbiy kuzatuv, shuningdek yuqish yo'llari va omillarini aniqlash choralari o'tkaziladi [3].</w:t>
      </w:r>
    </w:p>
    <w:p>
      <w:pPr>
        <w:pStyle w:val="Heading2"/>
        <w:spacing w:after="100" w:before="200"/>
      </w:pPr>
      <w:r>
        <w:rPr>
          <w:rFonts w:ascii="Times New Roman" w:cs="Times New Roman" w:eastAsia="Times New Roman" w:hAnsi="Times New Roman"/>
          <w:b/>
          <w:bCs/>
          <w:sz w:val="28"/>
          <w:szCs w:val="28"/>
        </w:rPr>
        <w:t xml:space="preserve">Xulosa</w:t>
      </w:r>
    </w:p>
    <w:p>
      <w:pPr>
        <w:spacing w:after="120" w:line="276"/>
        <w:ind w:firstLine="567"/>
        <w:jc w:val="both"/>
      </w:pPr>
      <w:r>
        <w:rPr>
          <w:rFonts w:ascii="Times New Roman" w:cs="Times New Roman" w:eastAsia="Times New Roman" w:hAnsi="Times New Roman"/>
          <w:sz w:val="28"/>
          <w:szCs w:val="28"/>
        </w:rPr>
        <w:t xml:space="preserve">Epidemik jarayon manba, yuqish mexanizmi va moyil organizmdan iborat uzluksiz zanjir bo'lib, epidemiyaga qarshi choralarning xususiyati birinchi navbatda yuqish mexanizmi bilan belgilanadi: fekal-oral yo'lda sanitariya va dezinfeksiya, havo-tomchida izolyatsiya va emlash, transmissiv yo'lda vektor nazorati, kontaktda aloqani cheklash va shaxsiy himoya. Chora-tadbirlar epidemiologik tashxis natijalariga tayanib, aniq o'choq sharoitiga moslab tanlanadi [1]. Darslikda ta'kidlanishicha, agar samarali vositalar yetarli bo'lmasa uchala yo'nalishda ham ish olib borish mumkin, ammo bu kuch va vositalarning befoyda sarflanishiga olib kelishi ehtimoli bor; shuning uchun imkon bo'lsa, eng samarali vositalar mavjud bir yoki ikki yo'nalishga e'tibor jamlanadi. Profilaktika va epidemiyaga qarshi ish rejalashtirilishi, rejada muddatlar, mas'ul ijrochilar hamda ma'muriy va moddiy ta'minot ko'rsatilishi shart [1]. Fekal-oral yo'lda yuqishning oldini olishda xavfsiz ichimlik suvi, yaxshilangan sanitariya va sovun bilan qo'l yuvish asosiy chora hisoblanadi [4]. Dezinfeksiya turlari (profilaktik, joriy, o'choqli) va ularning o'tkazilish shartlari SanQvaN № 0090-25 da belgilangan [5].</w:t>
      </w:r>
    </w:p>
    <w:p>
      <w:pPr>
        <w:pStyle w:val="Heading2"/>
        <w:spacing w:after="100" w:before="280"/>
      </w:pPr>
      <w:r>
        <w:rPr>
          <w:rFonts w:ascii="Times New Roman" w:cs="Times New Roman" w:eastAsia="Times New Roman" w:hAnsi="Times New Roman"/>
          <w:b/>
          <w:bCs/>
          <w:sz w:val="28"/>
          <w:szCs w:val="28"/>
        </w:rPr>
        <w:t xml:space="preserve">Foydalanilgan adabiyotlar</w:t>
      </w:r>
    </w:p>
    <w:p>
      <w:pPr>
        <w:pStyle w:val="ListParagraph"/>
        <w:numPr>
          <w:ilvl w:val="0"/>
          <w:numId w:val="4"/>
        </w:numPr>
        <w:spacing w:after="80" w:line="260"/>
      </w:pPr>
      <w:r>
        <w:rPr>
          <w:rFonts w:ascii="Times New Roman" w:cs="Times New Roman" w:eastAsia="Times New Roman" w:hAnsi="Times New Roman"/>
          <w:sz w:val="28"/>
          <w:szCs w:val="28"/>
        </w:rPr>
        <w:t xml:space="preserve">Mirtazayev O.M., Zueva L.P., Matnazarova G.S. Epidemiologiya (darslik). Toshkent, 2016. 9-bob (96–101-betlar), 15-bob (151–155-betlar), 17-bob, izolyatsiya bo'limi (553–554-betlar). Manba: xayrullokomilov.uz/kutubxona, material № 2356 (matn kirill yozuvida).</w:t>
      </w:r>
    </w:p>
    <w:p>
      <w:pPr>
        <w:pStyle w:val="ListParagraph"/>
        <w:numPr>
          <w:ilvl w:val="0"/>
          <w:numId w:val="4"/>
        </w:numPr>
        <w:spacing w:after="80" w:line="260"/>
      </w:pPr>
      <w:r>
        <w:rPr>
          <w:rFonts w:ascii="Times New Roman" w:cs="Times New Roman" w:eastAsia="Times New Roman" w:hAnsi="Times New Roman"/>
          <w:sz w:val="28"/>
          <w:szCs w:val="28"/>
        </w:rPr>
        <w:t xml:space="preserve">CDC. Principles of Epidemiology in Public Health Practice (SS1978), Lesson 1, Section 10: Chain of Infection. URL: https://archive.cdc.gov/www_cdc_gov/csels/dsepd/ss1978/lesson1/section10.html (kirilgan sana: 30.10.2026).</w:t>
      </w:r>
    </w:p>
    <w:p>
      <w:pPr>
        <w:pStyle w:val="ListParagraph"/>
        <w:numPr>
          <w:ilvl w:val="0"/>
          <w:numId w:val="4"/>
        </w:numPr>
        <w:spacing w:after="80" w:line="260"/>
      </w:pPr>
      <w:r>
        <w:rPr>
          <w:rFonts w:ascii="Times New Roman" w:cs="Times New Roman" w:eastAsia="Times New Roman" w:hAnsi="Times New Roman"/>
          <w:sz w:val="28"/>
          <w:szCs w:val="28"/>
        </w:rPr>
        <w:t xml:space="preserve">O'zbekiston Respublikasining "Aholining sanitariya-epidemiologik osoyishtaligi to'g'risida"gi Qonuni (Qonunchilik palatasi 2015-yil 15-iyulda qabul qilgan, Senat 2015-yil 6-avgustda ma'qullagan), 32-modda. URL: https://lex.uz/docs/2732587. Manba: xayrullokomilov.uz/kutubxona, material № 201 (matn kirill yozuvida; qonunning asosiy raqami matnda ko'rsatilmagan — tasdiqlanmagan).</w:t>
      </w:r>
    </w:p>
    <w:p>
      <w:pPr>
        <w:pStyle w:val="ListParagraph"/>
        <w:numPr>
          <w:ilvl w:val="0"/>
          <w:numId w:val="4"/>
        </w:numPr>
        <w:spacing w:after="80" w:line="260"/>
      </w:pPr>
      <w:r>
        <w:rPr>
          <w:rFonts w:ascii="Times New Roman" w:cs="Times New Roman" w:eastAsia="Times New Roman" w:hAnsi="Times New Roman"/>
          <w:sz w:val="28"/>
          <w:szCs w:val="28"/>
        </w:rPr>
        <w:t xml:space="preserve">World Health Organization. Diarrhoeal disease (fact sheet). URL: https://www.who.int/news-room/fact-sheets/detail/diarrhoeal-disease (kirilgan sana: 30.10.2026).</w:t>
      </w:r>
    </w:p>
    <w:p>
      <w:pPr>
        <w:pStyle w:val="ListParagraph"/>
        <w:numPr>
          <w:ilvl w:val="0"/>
          <w:numId w:val="4"/>
        </w:numPr>
        <w:spacing w:after="80" w:line="260"/>
      </w:pPr>
      <w:r>
        <w:rPr>
          <w:rFonts w:ascii="Times New Roman" w:cs="Times New Roman" w:eastAsia="Times New Roman" w:hAnsi="Times New Roman"/>
          <w:sz w:val="28"/>
          <w:szCs w:val="28"/>
        </w:rPr>
        <w:t xml:space="preserve">SanQvaN № 0090-25 (SEO va JS qo'mitasi qarori, Toshkent, 05.05.2025, № 8; Adliya vazirligida 03.06.2025-yilda 350-raqam bilan ro'yxatga olingan), 1-bob. URL: https://lex.uz/en/docs/-7556121. Manba: xayrullokomilov.uz/kutubxona, material № 660.</w:t>
      </w:r>
    </w:p>
    <w:sectPr>
      <w:pgSz w:w="11906" w:h="16838" w:orient="portrait"/>
      <w:pgMar w:top="1134" w:right="850" w:bottom="1134" w:left="1701" w:header="708" w:footer="708" w:gutter="0"/>
      <w:pgNumType/>
      <w:docGrid w:linePitch="360"/>
    </w:sectPr>
  </w:body>
</w:document>
</file>

<file path=word/endnotes.xml><?xml version="1.0" encoding="utf-8"?>
<w:end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endnote w:type="separator" w:id="-1">
    <w:p>
      <w:pPr>
        <w:spacing w:after="0" w:line="240" w:lineRule="auto"/>
      </w:pPr>
      <w:r>
        <w:rPr>
          <w:rStyle w:val="EndnoteReference"/>
        </w:rPr>
        <w:endnoteRef/>
      </w:r>
      <w:r>
        <w:separator/>
      </w:r>
    </w:p>
  </w:endnote>
  <w:endnote w:type="continuationSeparator" w:id="0">
    <w:p>
      <w:pPr>
        <w:spacing w:after="0" w:line="240" w:lineRule="auto"/>
      </w:pPr>
      <w:r>
        <w:rPr>
          <w:rStyle w:val="EndnoteReference"/>
        </w:rPr>
        <w:endnoteRef/>
      </w: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file>

<file path=word/footnotes.xml><?xml version="1.0" encoding="utf-8"?>
<w:foot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footnote w:type="separator" w:id="-1">
    <w:p>
      <w:pPr>
        <w:spacing w:after="0" w:line="240" w:lineRule="auto"/>
      </w:pPr>
      <w:r>
        <w:rPr>
          <w:rStyle w:val="FootnoteReference"/>
        </w:rPr>
        <w:footnoteRef/>
      </w:r>
      <w:r>
        <w:separator/>
      </w:r>
    </w:p>
  </w:footnote>
  <w:footnote w:type="continuationSeparator" w:id="0">
    <w:p>
      <w:pPr>
        <w:spacing w:after="0" w:line="240" w:lineRule="auto"/>
      </w:pPr>
      <w:r>
        <w:rPr>
          <w:rStyle w:val="FootnoteReference"/>
        </w:rPr>
        <w:footnoteRef/>
      </w:r>
      <w:r>
        <w:continuationSeparator/>
      </w:r>
    </w:p>
  </w:footnote>
</w:footnotes>
</file>

<file path=word/numbering.xml><?xml version="1.0" encoding="utf-8"?>
<w:numbering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abstractNum w:abstractNumId="1" w15:restartNumberingAfterBreak="0">
    <w:multiLevelType w:val="hybridMultilevel"/>
    <w:lvl w:ilvl="0" w:tentative="1">
      <w:start w:val="1"/>
      <w:numFmt w:val="bullet"/>
      <w:lvlText w:val="●"/>
      <w:lvlJc w:val="left"/>
      <w:pPr>
        <w:ind w:left="720" w:hanging="360"/>
      </w:pPr>
    </w:lvl>
    <w:lvl w:ilvl="1" w:tentative="1">
      <w:start w:val="1"/>
      <w:numFmt w:val="bullet"/>
      <w:lvlText w:val="○"/>
      <w:lvlJc w:val="left"/>
      <w:pPr>
        <w:ind w:left="1440" w:hanging="360"/>
      </w:pPr>
    </w:lvl>
    <w:lvl w:ilvl="2" w:tentative="1">
      <w:start w:val="1"/>
      <w:numFmt w:val="bullet"/>
      <w:lvlText w:val="■"/>
      <w:lvlJc w:val="left"/>
      <w:pPr>
        <w:ind w:left="2160" w:hanging="360"/>
      </w:pPr>
    </w:lvl>
    <w:lvl w:ilvl="3" w:tentative="1">
      <w:start w:val="1"/>
      <w:numFmt w:val="bullet"/>
      <w:lvlText w:val="●"/>
      <w:lvlJc w:val="left"/>
      <w:pPr>
        <w:ind w:left="2880" w:hanging="360"/>
      </w:pPr>
    </w:lvl>
    <w:lvl w:ilvl="4" w:tentative="1">
      <w:start w:val="1"/>
      <w:numFmt w:val="bullet"/>
      <w:lvlText w:val="○"/>
      <w:lvlJc w:val="left"/>
      <w:pPr>
        <w:ind w:left="3600" w:hanging="360"/>
      </w:pPr>
    </w:lvl>
    <w:lvl w:ilvl="5" w:tentative="1">
      <w:start w:val="1"/>
      <w:numFmt w:val="bullet"/>
      <w:lvlText w:val="■"/>
      <w:lvlJc w:val="left"/>
      <w:pPr>
        <w:ind w:left="4320" w:hanging="360"/>
      </w:pPr>
    </w:lvl>
    <w:lvl w:ilvl="6" w:tentative="1">
      <w:start w:val="1"/>
      <w:numFmt w:val="bullet"/>
      <w:lvlText w:val="●"/>
      <w:lvlJc w:val="left"/>
      <w:pPr>
        <w:ind w:left="5040" w:hanging="360"/>
      </w:pPr>
    </w:lvl>
    <w:lvl w:ilvl="7" w:tentative="1">
      <w:start w:val="1"/>
      <w:numFmt w:val="bullet"/>
      <w:lvlText w:val="●"/>
      <w:lvlJc w:val="left"/>
      <w:pPr>
        <w:ind w:left="5760" w:hanging="360"/>
      </w:pPr>
    </w:lvl>
    <w:lvl w:ilvl="8" w:tentative="1">
      <w:start w:val="1"/>
      <w:numFmt w:val="bullet"/>
      <w:lvlText w:val="●"/>
      <w:lvlJc w:val="left"/>
      <w:pPr>
        <w:ind w:left="6480" w:hanging="360"/>
      </w:pPr>
    </w:lvl>
  </w:abstractNum>
  <w:abstractNum w:abstractNumId="2" w15:restartNumberingAfterBreak="0">
    <w:multiLevelType w:val="hybridMultilevel"/>
    <w:lvl w:ilvl="0" w:tentative="1">
      <w:start w:val="1"/>
      <w:numFmt w:val="decimal"/>
      <w:lvlText w:val="[%1]"/>
      <w:lvlJc w:val="left"/>
      <w:pPr>
        <w:ind w:left="720" w:hanging="720"/>
      </w:pPr>
      <w:rPr>
        <w:rFonts w:ascii="Times New Roman" w:cs="Times New Roman" w:eastAsia="Times New Roman" w:hAnsi="Times New Roman"/>
        <w:sz w:val="28"/>
        <w:szCs w:val="28"/>
      </w:rPr>
    </w:lvl>
  </w:abstractNum>
  <w:abstractNum w:abstractNumId="3" w15:restartNumberingAfterBreak="0">
    <w:multiLevelType w:val="hybridMultilevel"/>
    <w:lvl w:ilvl="0" w:tentative="1">
      <w:start w:val="1"/>
      <w:numFmt w:val="decimal"/>
      <w:lvlText w:val="%1)"/>
      <w:lvlJc w:val="left"/>
      <w:pPr>
        <w:ind w:left="851" w:hanging="425"/>
      </w:pPr>
      <w:rPr>
        <w:rFonts w:ascii="Times New Roman" w:cs="Times New Roman" w:eastAsia="Times New Roman" w:hAnsi="Times New Roman"/>
        <w:sz w:val="28"/>
        <w:szCs w:val="28"/>
      </w:rPr>
    </w:lvl>
  </w:abstractNum>
  <w:abstractNum w:abstractNumId="4" w15:restartNumberingAfterBreak="0">
    <w:multiLevelType w:val="hybridMultilevel"/>
    <w:lvl w:ilvl="0" w:tentative="1">
      <w:start w:val="1"/>
      <w:numFmt w:val="decimal"/>
      <w:lvlText w:val="%1)"/>
      <w:lvlJc w:val="left"/>
      <w:pPr>
        <w:ind w:left="851" w:hanging="425"/>
      </w:pPr>
      <w:rPr>
        <w:rFonts w:ascii="Times New Roman" w:cs="Times New Roman" w:eastAsia="Times New Roman" w:hAnsi="Times New Roman"/>
        <w:sz w:val="28"/>
        <w:szCs w:val="28"/>
      </w:rPr>
    </w:lvl>
  </w:abstractNum>
  <w:num w:numId="1">
    <w:abstractNumId w:val="1"/>
    <w:lvlOverride w:ilvl="0">
      <w:startOverride w:val="1"/>
    </w:lvlOverride>
  </w:num>
  <w:num w:numId="2">
    <w:abstractNumId w:val="3"/>
    <w:lvlOverride w:ilvl="0">
      <w:startOverride w:val="1"/>
    </w:lvlOverride>
  </w:num>
  <w:num w:numId="3">
    <w:abstractNumId w:val="4"/>
    <w:lvlOverride w:ilvl="0">
      <w:startOverride w:val="1"/>
    </w:lvlOverride>
  </w:num>
  <w:num w:numId="4">
    <w:abstractNumId w:val="2"/>
    <w:lvlOverride w:ilvl="0">
      <w:startOverride w:val="1"/>
    </w:lvlOverride>
  </w:num>
</w:numbering>
</file>

<file path=word/settings.xml><?xml version="1.0" encoding="utf-8"?>
<w:setting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displayBackgroundShape/>
  <w:defaultTabStop w:val="720"/>
  <w:evenAndOddHeaders w:val="false"/>
  <w:compat>
    <w:compatSetting w:val="15" w:name="compatibilityMode" w:uri="http://schemas.microsoft.com/office/word"/>
  </w:compat>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mc:Ignorable="w14 w15">
  <w:docDefaults>
    <w:rPrDefault>
      <w:rPr>
        <w:rFonts w:ascii="Times New Roman" w:cs="Times New Roman" w:eastAsia="Times New Roman" w:hAnsi="Times New Roman"/>
        <w:sz w:val="28"/>
        <w:szCs w:val="28"/>
      </w:rPr>
    </w:rPrDefault>
    <w:pPrDefault/>
  </w:docDefaults>
  <w:style w:type="paragraph" w:styleId="Normal" w:default="1">
    <w:name w:val="Normal"/>
    <w:qFormat/>
  </w:style>
  <w:style w:type="table" w:styleId="TableNormal" w:default="true">
    <w:name w:val="Normal Table"/>
    <w:uiPriority w:val="99"/>
    <w:semiHidden/>
    <w:unhideWhenUsed/>
    <w:tblPr>
      <w:tblInd w:type="dxa" w:w="0"/>
      <w:tblCellMar>
        <w:top w:type="dxa" w:w="0"/>
        <w:left w:type="dxa" w:w="108"/>
        <w:bottom w:type="dxa" w:w="0"/>
        <w:right w:type="dxa" w:w="108"/>
      </w:tblCellMar>
    </w:tblPr>
  </w:style>
  <w:style w:type="paragraph" w:styleId="Title">
    <w:name w:val="Title"/>
    <w:basedOn w:val="Normal"/>
    <w:next w:val="Normal"/>
    <w:qFormat/>
    <w:rPr>
      <w:sz w:val="56"/>
      <w:szCs w:val="56"/>
    </w:rPr>
  </w:style>
  <w:style w:type="paragraph" w:styleId="Heading3">
    <w:name w:val="Heading 3"/>
    <w:basedOn w:val="Normal"/>
    <w:next w:val="Normal"/>
    <w:qFormat/>
    <w:rPr>
      <w:color w:val="1F4D78"/>
      <w:sz w:val="24"/>
      <w:szCs w:val="24"/>
    </w:rPr>
  </w:style>
  <w:style w:type="paragraph" w:styleId="Heading4">
    <w:name w:val="Heading 4"/>
    <w:basedOn w:val="Normal"/>
    <w:next w:val="Normal"/>
    <w:qFormat/>
    <w:rPr>
      <w:i/>
      <w:iCs/>
      <w:color w:val="2E74B5"/>
    </w:rPr>
  </w:style>
  <w:style w:type="paragraph" w:styleId="Heading5">
    <w:name w:val="Heading 5"/>
    <w:basedOn w:val="Normal"/>
    <w:next w:val="Normal"/>
    <w:qFormat/>
    <w:rPr>
      <w:color w:val="2E74B5"/>
    </w:rPr>
  </w:style>
  <w:style w:type="paragraph" w:styleId="Heading6">
    <w:name w:val="Heading 6"/>
    <w:basedOn w:val="Normal"/>
    <w:next w:val="Normal"/>
    <w:qFormat/>
    <w:rPr>
      <w:color w:val="1F4D78"/>
    </w:rPr>
  </w:style>
  <w:style w:type="paragraph" w:styleId="Strong">
    <w:name w:val="Strong"/>
    <w:basedOn w:val="Normal"/>
    <w:next w:val="Normal"/>
    <w:qFormat/>
    <w:rPr>
      <w:b/>
      <w:bCs/>
    </w:rPr>
  </w:style>
  <w:style w:type="paragraph" w:styleId="ListParagraph">
    <w:name w:val="List Paragraph"/>
    <w:basedOn w:val="Normal"/>
    <w:qFormat/>
  </w:style>
  <w:style w:type="paragraph" w:styleId="Caption">
    <w:name w:val="caption"/>
    <w:basedOn w:val="Normal"/>
    <w:next w:val="Normal"/>
    <w:uiPriority w:val="35"/>
    <w:semiHidden/>
    <w:unhideWhenUsed/>
    <w:qFormat/>
    <w:pPr>
      <w:spacing w:after="200"/>
    </w:pPr>
    <w:rPr>
      <w:i/>
      <w:iCs/>
      <w:color w:val="44546A" w:themeColor="dark2"/>
      <w:sz w:val="18"/>
      <w:szCs w:val="18"/>
    </w:rPr>
  </w:style>
  <w:style w:type="paragraph" w:styleId="Bibliography">
    <w:name w:val="Bibliography"/>
    <w:basedOn w:val="Normal"/>
    <w:next w:val="Normal"/>
    <w:uiPriority w:val="37"/>
    <w:unhideWhenUsed/>
  </w:style>
  <w:style w:type="paragraph" w:styleId="TOC1">
    <w:name w:val="toc 1"/>
    <w:basedOn w:val="Normal"/>
    <w:next w:val="Normal"/>
    <w:uiPriority w:val="39"/>
    <w:semiHidden/>
    <w:unhideWhenUsed/>
    <w:pPr>
      <w:spacing w:after="100"/>
    </w:pPr>
  </w:style>
  <w:style w:type="paragraph" w:styleId="TOC2">
    <w:name w:val="toc 2"/>
    <w:basedOn w:val="Normal"/>
    <w:next w:val="Normal"/>
    <w:uiPriority w:val="39"/>
    <w:semiHidden/>
    <w:unhideWhenUsed/>
    <w:pPr>
      <w:spacing w:after="100"/>
      <w:ind w:left="280"/>
    </w:pPr>
  </w:style>
  <w:style w:type="paragraph" w:styleId="TOC3">
    <w:name w:val="toc 3"/>
    <w:basedOn w:val="Normal"/>
    <w:next w:val="Normal"/>
    <w:uiPriority w:val="39"/>
    <w:semiHidden/>
    <w:unhideWhenUsed/>
    <w:pPr>
      <w:spacing w:after="100"/>
      <w:ind w:left="560"/>
    </w:pPr>
  </w:style>
  <w:style w:type="paragraph" w:styleId="TOC4">
    <w:name w:val="toc 4"/>
    <w:basedOn w:val="Normal"/>
    <w:next w:val="Normal"/>
    <w:uiPriority w:val="39"/>
    <w:semiHidden/>
    <w:unhideWhenUsed/>
    <w:pPr>
      <w:spacing w:after="100"/>
      <w:ind w:left="840"/>
    </w:pPr>
  </w:style>
  <w:style w:type="paragraph" w:styleId="TOC5">
    <w:name w:val="toc 5"/>
    <w:basedOn w:val="Normal"/>
    <w:next w:val="Normal"/>
    <w:uiPriority w:val="39"/>
    <w:semiHidden/>
    <w:unhideWhenUsed/>
    <w:pPr>
      <w:spacing w:after="100"/>
      <w:ind w:left="1120"/>
    </w:pPr>
  </w:style>
  <w:style w:type="paragraph" w:styleId="TOC6">
    <w:name w:val="toc 6"/>
    <w:basedOn w:val="Normal"/>
    <w:next w:val="Normal"/>
    <w:uiPriority w:val="39"/>
    <w:semiHidden/>
    <w:unhideWhenUsed/>
    <w:pPr>
      <w:spacing w:after="100"/>
      <w:ind w:left="1400"/>
    </w:pPr>
  </w:style>
  <w:style w:type="paragraph" w:styleId="TOC7">
    <w:name w:val="toc 7"/>
    <w:basedOn w:val="Normal"/>
    <w:next w:val="Normal"/>
    <w:uiPriority w:val="39"/>
    <w:semiHidden/>
    <w:unhideWhenUsed/>
    <w:pPr>
      <w:spacing w:after="100"/>
      <w:ind w:left="1680"/>
    </w:pPr>
  </w:style>
  <w:style w:type="paragraph" w:styleId="TOC8">
    <w:name w:val="toc 8"/>
    <w:basedOn w:val="Normal"/>
    <w:next w:val="Normal"/>
    <w:uiPriority w:val="39"/>
    <w:semiHidden/>
    <w:unhideWhenUsed/>
    <w:pPr>
      <w:spacing w:after="100"/>
      <w:ind w:left="1960"/>
    </w:pPr>
  </w:style>
  <w:style w:type="paragraph" w:styleId="TOC9">
    <w:name w:val="toc 9"/>
    <w:basedOn w:val="Normal"/>
    <w:next w:val="Normal"/>
    <w:uiPriority w:val="39"/>
    <w:semiHidden/>
    <w:unhideWhenUsed/>
    <w:pPr>
      <w:spacing w:after="100"/>
      <w:ind w:left="2240"/>
    </w:pPr>
  </w:style>
  <w:style w:type="character" w:styleId="Hyperlink">
    <w:name w:val="Hyperlink"/>
    <w:basedOn w:val="DefaultParagraphFont"/>
    <w:uiPriority w:val="99"/>
    <w:unhideWhenUsed/>
    <w:rPr>
      <w:color w:val="0563C1"/>
      <w:u w:val="single"/>
    </w:rPr>
  </w:style>
  <w:style w:type="character" w:styleId="FootnoteReference">
    <w:name w:val="footnote reference"/>
    <w:basedOn w:val="DefaultParagraphFont"/>
    <w:uiPriority w:val="99"/>
    <w:semiHidden/>
    <w:unhideWhenUsed/>
    <w:rPr>
      <w:vertAlign w:val="superscript"/>
    </w:rPr>
  </w:style>
  <w:style w:type="paragraph" w:styleId="FootnoteText">
    <w:name w:val="footnote text"/>
    <w:basedOn w:val="Normal"/>
    <w:link w:val="FootnoteTextChar"/>
    <w:uiPriority w:val="99"/>
    <w:semiHidden/>
    <w:unhideWhenUsed/>
    <w:pPr>
      <w:spacing w:after="0" w:line="240" w:lineRule="auto"/>
    </w:pPr>
    <w:rPr>
      <w:sz w:val="20"/>
      <w:szCs w:val="20"/>
    </w:rPr>
  </w:style>
  <w:style w:type="character" w:styleId="FootnoteTextChar">
    <w:name w:val="Footnote Text Char"/>
    <w:basedOn w:val="DefaultParagraphFont"/>
    <w:link w:val="FootnoteText"/>
    <w:uiPriority w:val="99"/>
    <w:semiHidden/>
    <w:unhideWhenUsed/>
    <w:rPr>
      <w:sz w:val="20"/>
      <w:szCs w:val="20"/>
    </w:rPr>
  </w:style>
  <w:style w:type="character" w:styleId="EndnoteReference">
    <w:name w:val="endnote reference"/>
    <w:basedOn w:val="DefaultParagraphFont"/>
    <w:uiPriority w:val="99"/>
    <w:semiHidden/>
    <w:unhideWhenUsed/>
    <w:rPr>
      <w:vertAlign w:val="superscript"/>
    </w:rPr>
  </w:style>
  <w:style w:type="paragraph" w:styleId="EndnoteText">
    <w:name w:val="endnote text"/>
    <w:basedOn w:val="Normal"/>
    <w:link w:val="EndnoteTextChar"/>
    <w:uiPriority w:val="99"/>
    <w:semiHidden/>
    <w:unhideWhenUsed/>
    <w:pPr>
      <w:spacing w:after="0" w:line="240" w:lineRule="auto"/>
    </w:pPr>
    <w:rPr>
      <w:sz w:val="20"/>
      <w:szCs w:val="20"/>
    </w:rPr>
  </w:style>
  <w:style w:type="character" w:styleId="EndnoteTextChar">
    <w:name w:val="Endnote Text Char"/>
    <w:basedOn w:val="DefaultParagraphFont"/>
    <w:link w:val="EndnoteText"/>
    <w:uiPriority w:val="99"/>
    <w:semiHidden/>
    <w:unhideWhenUsed/>
    <w:rPr>
      <w:sz w:val="20"/>
      <w:szCs w:val="20"/>
    </w:rPr>
  </w:style>
  <w:style w:type="character" w:styleId="LineNumber">
    <w:name w:val="line number"/>
    <w:basedOn w:val="DefaultParagraphFont"/>
    <w:uiPriority w:val="99"/>
    <w:semiHidden/>
    <w:unhideWhenUsed/>
  </w:style>
  <w:style w:type="paragraph" w:styleId="Heading1">
    <w:name w:val="Heading 1"/>
    <w:basedOn w:val="Normal"/>
    <w:next w:val="Normal"/>
    <w:qFormat/>
    <w:pPr>
      <w:spacing w:after="240" w:before="0"/>
      <w:outlineLvl w:val="0"/>
    </w:pPr>
    <w:rPr>
      <w:rFonts w:ascii="Times New Roman" w:cs="Times New Roman" w:eastAsia="Times New Roman" w:hAnsi="Times New Roman"/>
      <w:b/>
      <w:bCs/>
      <w:color w:val="000000"/>
      <w:sz w:val="30"/>
      <w:szCs w:val="30"/>
    </w:rPr>
  </w:style>
  <w:style w:type="paragraph" w:styleId="Heading2">
    <w:name w:val="Heading 2"/>
    <w:basedOn w:val="Normal"/>
    <w:next w:val="Normal"/>
    <w:qFormat/>
    <w:pPr>
      <w:spacing w:after="100" w:before="200"/>
      <w:outlineLvl w:val="1"/>
    </w:pPr>
    <w:rPr>
      <w:rFonts w:ascii="Times New Roman" w:cs="Times New Roman" w:eastAsia="Times New Roman" w:hAnsi="Times New Roman"/>
      <w:b/>
      <w:bCs/>
      <w:color w:val="000000"/>
      <w:sz w:val="28"/>
      <w:szCs w:val="28"/>
    </w:rPr>
  </w:style>
</w:styles>
</file>

<file path=word/_rels/document.xml.rels><?xml version="1.0" encoding="UTF-8"?><Relationships xmlns="http://schemas.openxmlformats.org/package/2006/relationships"><Relationship Id="rId1" Type="http://schemas.openxmlformats.org/officeDocument/2006/relationships/styles" Target="styles.xml"/><Relationship Id="rId2" Type="http://schemas.openxmlformats.org/officeDocument/2006/relationships/numbering" Target="numbering.xml"/><Relationship Id="rId3" Type="http://schemas.openxmlformats.org/officeDocument/2006/relationships/footnotes" Target="footnotes.xml"/><Relationship Id="rId4" Type="http://schemas.openxmlformats.org/officeDocument/2006/relationships/endnotes" Target="endnotes.xml"/><Relationship Id="rId5" Type="http://schemas.openxmlformats.org/officeDocument/2006/relationships/settings" Target="settings.xml"/><Relationship Id="rId6" Type="http://schemas.openxmlformats.org/officeDocument/2006/relationships/theme" Target="theme/theme1.xml"/><Relationship Id="rId7" Type="http://schemas.openxmlformats.org/officeDocument/2006/relationships/fontTable" Target="fontTable.xml"/></Relationships>
</file>

<file path=word/_rels/endnotes.xml.rels><?xml version="1.0" encoding="UTF-8"?><Relationships xmlns="http://schemas.openxmlformats.org/package/2006/relationships"/>
</file>

<file path=word/_rels/fontTable.xml.rels><?xml version="1.0" encoding="UTF-8"?><Relationships xmlns="http://schemas.openxmlformats.org/package/2006/relationships"/>
</file>

<file path=word/_rels/footnotes.xml.rels><?xml version="1.0" encoding="UTF-8"?><Relationships xmlns="http://schemas.openxmlformats.org/package/2006/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44546A"/>
      </a:dk2>
      <a:lt2>
        <a:srgbClr val="E7E6E6"/>
      </a:lt2>
      <a:accent1>
        <a:srgbClr val="4472C4"/>
      </a:accent1>
      <a:accent2>
        <a:srgbClr val="ED7D31"/>
      </a:accent2>
      <a:accent3>
        <a:srgbClr val="A5A5A5"/>
      </a:accent3>
      <a:accent4>
        <a:srgbClr val="FFC000"/>
      </a:accent4>
      <a:accent5>
        <a:srgbClr val="5B9BD5"/>
      </a:accent5>
      <a:accent6>
        <a:srgbClr val="70AD47"/>
      </a:accent6>
      <a:hlink>
        <a:srgbClr val="0563C1"/>
      </a:hlink>
      <a:folHlink>
        <a:srgbClr val="954F72"/>
      </a:folHlink>
    </a:clrScheme>
    <a:fontScheme name="Office">
      <a:majorFont>
        <a:latin typeface="Calibri Light" panose="020F030202020403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Calibri" panose="020F0502020204030204"/>
        <a:ea typeface=""/>
        <a:cs typeface=""/>
        <a:font script="Jpan" typeface="游明朝"/>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name="Office">
      <a:fillStyleLst>
        <a:solidFill>
          <a:schemeClr val="phClr"/>
        </a:solidFill>
        <a:gradFill rotWithShape="true">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false"/>
        </a:gradFill>
        <a:gradFill rotWithShape="true">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false"/>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false">
              <a:srgbClr val="000000">
                <a:alpha val="63000"/>
              </a:srgbClr>
            </a:outerShdw>
          </a:effectLst>
        </a:effectStyle>
      </a:effectStyleLst>
      <a:bgFillStyleLst>
        <a:solidFill>
          <a:schemeClr val="phClr"/>
        </a:solidFill>
        <a:solidFill>
          <a:schemeClr val="phClr">
            <a:tint val="95000"/>
            <a:satMod val="170000"/>
          </a:schemeClr>
        </a:solidFill>
        <a:gradFill rotWithShape="true">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false"/>
        </a:gradFill>
      </a:bgFillStyleLst>
    </a:fmtScheme>
  </a:themeElements>
  <a:objectDefaults/>
  <a:extraClrSchemeLst/>
</a:theme>
</file>

<file path=docProps/app.xml><?xml version="1.0" encoding="utf-8"?>
<Properties xmlns="http://schemas.openxmlformats.org/officeDocument/2006/extended-properties" xmlns:vt="http://schemas.openxmlformats.org/officeDocument/2006/docPropsVTyp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8. Epidemik jarayonning ta'rifi, kasallikning yuqish yo'liga qarab, epidemiyaga qarshi choralarning xususiyatlari</dc:title>
  <dc:creator>Epidemiologiya</dc:creator>
  <cp:lastModifiedBy>Un-named</cp:lastModifiedBy>
  <cp:revision>1</cp:revision>
  <dcterms:created xsi:type="dcterms:W3CDTF">2026-10-30T02:03:22.760Z</dcterms:created>
  <dcterms:modified xsi:type="dcterms:W3CDTF">2026-10-30T02:03:22.760Z</dcterms:modified>
</cp:coreProperties>
</file>

<file path=docProps/custom.xml><?xml version="1.0" encoding="utf-8"?>
<Properties xmlns="http://schemas.openxmlformats.org/officeDocument/2006/custom-properties" xmlns:vt="http://schemas.openxmlformats.org/officeDocument/2006/docPropsVTypes"/>
</file>