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50. O'tkir ichak infeksiyalari va ularning yuqish yo'llari. 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100" w:before="200"/>
      </w:pPr>
      <w:r>
        <w:rPr>
          <w:rFonts w:ascii="Times New Roman" w:cs="Times New Roman" w:eastAsia="Times New Roman" w:hAnsi="Times New Roman"/>
          <w:b/>
          <w:bCs/>
          <w:sz w:val="28"/>
          <w:szCs w:val="28"/>
        </w:rPr>
        <w:t xml:space="preserve">Umumiy epidemiologik xususiyatlar</w:t>
      </w:r>
    </w:p>
    <w:p>
      <w:pPr>
        <w:spacing w:after="120" w:line="276"/>
        <w:ind w:firstLine="567"/>
        <w:jc w:val="both"/>
      </w:pPr>
      <w:r>
        <w:rPr>
          <w:rFonts w:ascii="Times New Roman" w:cs="Times New Roman" w:eastAsia="Times New Roman" w:hAnsi="Times New Roman"/>
          <w:sz w:val="28"/>
          <w:szCs w:val="28"/>
        </w:rP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Yagona fekal-oral mexanizm uch asosiy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odatda ko'p sonli, bir vaqtda paydo bo'ladigan holatlar bilan kechadigan epidemiyalarni keltirib chiqaradi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tuxum, sabzavot orqali; qo'zg'atuvchining oziq-ovqatda ko'payishi bilan bog'liq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idish-tovoq va buyumlar orqali; past yuqtiruvchi dozali infeksiyalar uchun xos (dizenteriya).</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100" w:before="200"/>
      </w:pPr>
      <w:r>
        <w:rPr>
          <w:rFonts w:ascii="Times New Roman" w:cs="Times New Roman" w:eastAsia="Times New Roman" w:hAnsi="Times New Roman"/>
          <w:b/>
          <w:bCs/>
          <w:sz w:val="28"/>
          <w:szCs w:val="28"/>
        </w:rPr>
        <w:t xml:space="preserve">Yetakchi yuqish yo'lini aniqlashning ahamiyati</w:t>
      </w:r>
    </w:p>
    <w:p>
      <w:pPr>
        <w:spacing w:after="120" w:line="276"/>
        <w:ind w:firstLine="567"/>
        <w:jc w:val="both"/>
      </w:pPr>
      <w:r>
        <w:rPr>
          <w:rFonts w:ascii="Times New Roman" w:cs="Times New Roman" w:eastAsia="Times New Roman" w:hAnsi="Times New Roman"/>
          <w:sz w:val="28"/>
          <w:szCs w:val="28"/>
        </w:rP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chiqindilarni to'g'ri yig'ish va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 ayniqsa qo'l yuvishni targ'ib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hamda dezinseksiya (pashshaga qarshi kurash).</w:t>
      </w:r>
    </w:p>
    <w:p>
      <w:pPr>
        <w:spacing w:after="120" w:line="276"/>
        <w:ind w:firstLine="567"/>
        <w:jc w:val="both"/>
      </w:pPr>
      <w:r>
        <w:rPr>
          <w:rFonts w:ascii="Times New Roman" w:cs="Times New Roman" w:eastAsia="Times New Roman" w:hAnsi="Times New Roman"/>
          <w:sz w:val="28"/>
          <w:szCs w:val="28"/>
        </w:rP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hamda o'choqlar sonining kamayishi orqali baholanadi. Favqulodda vaziyatlar uchun zaxira resurslar (dezinfeksiyalovchi vositalar, regidratatsiya eritmalari) ham oldindan ta'minlanadi.</w:t>
      </w:r>
    </w:p>
    <w:p>
      <w:pPr>
        <w:pStyle w:val="Heading2"/>
        <w:spacing w:after="100" w:before="200"/>
      </w:pPr>
      <w:r>
        <w:rPr>
          <w:rFonts w:ascii="Times New Roman" w:cs="Times New Roman" w:eastAsia="Times New Roman" w:hAnsi="Times New Roman"/>
          <w:b/>
          <w:bCs/>
          <w:sz w:val="28"/>
          <w:szCs w:val="28"/>
        </w:rPr>
        <w:t xml:space="preserve">Yo'llar bo'yicha milliy ma'lumotlar</w:t>
      </w:r>
    </w:p>
    <w:p>
      <w:pPr>
        <w:spacing w:after="120" w:line="276"/>
        <w:ind w:firstLine="567"/>
        <w:jc w:val="both"/>
      </w:pPr>
      <w:r>
        <w:rPr>
          <w:rFonts w:ascii="Times New Roman" w:cs="Times New Roman" w:eastAsia="Times New Roman" w:hAnsi="Times New Roman"/>
          <w:sz w:val="28"/>
          <w:szCs w:val="28"/>
        </w:rPr>
        <w:t xml:space="preserve">Yo'riqnomada ichak infeksiyalari uchun yuqish yo'llari aniq ajratilgan: shigellyozda alimentar (sabzavot, non, sut mahsulotlari, termik ishlov berilmagan yarim fabrikatlar; asosan Zonne), suv (vodoprovod, quduq, buloq, ochiq suv havzalari; asosan Flekssner) va maishiy-muloqot (qo'l, idish-tovoq, to'shak, o'yinchoq, kran va eshik tutqichlari) yo'llari [1]. Ich terlama va paratiflarda yuqish omillari suv, oziq-ovqat, ifloslangan qo'l va boshqa maishiy yo'llardir; qo'zg'atuvchilar sut, go'sht, baliq va sabzavotli salatlarda 18 °C dan past bo'lmagan haroratda saqlanibgina qolmay, ko'payishi ham mumkin [1]. Yetakchi yo'lni aniqlash uchun bemor so'roqnomasi, sanitariya-gigiyenik holat, tashqi muhitdan namunalar va serologik natijalar yig'iladi, bemorlar yashash joylari xaritaga tushirilib, unga suv ta'minoti, umumiy ovqatlanish va savdo muassasalari tushiriladi [1]. Qonun yuqish yo'llari va omillarini aniqlashni o'choqdagi majburiy chora sifatida belgilaydi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 Qonunga ko'ra o'choqlarda gumon qilinganlarni aniqlash, ajratish va kasalxonaga yotqizish, muloqotda bo'lganlarni laboratoriya tekshiruvidan o'tkazish hamda yuqish yo'llari va omillarini aniqlash choralari o'tkaziladi [3]. Fekal-oral yuqishning oldini olishda muhitni qayta tashkil etish va qo'l yuvishni targ'ib qilish kabi xulq-atvorni o'zgartirish choralari yetakchi o'rin tutadi [4]. O'zbekistonda etiologiyasi aniqlangan o'tkir yuqumli ichak kasalliklari bo'yicha 2023-yilgi tahlilda o'tgan oyda 1169, oldingi oyda 883 holat qayd etilgan, eng ko'p holat Surxondaryo viloyatida (188) bo'lgan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50. O'tkir ichak infeksiyalari va ularning yuqish yo'llari. Epidemiyaga qarshi chora-tadbirlarni rejalashtirish</dc:title>
  <dc:creator>Epidemiologiya</dc:creator>
  <cp:lastModifiedBy>Un-named</cp:lastModifiedBy>
  <cp:revision>1</cp:revision>
  <dcterms:created xsi:type="dcterms:W3CDTF">2026-10-30T02:01:31.297Z</dcterms:created>
  <dcterms:modified xsi:type="dcterms:W3CDTF">2026-10-30T02:01:31.297Z</dcterms:modified>
</cp:coreProperties>
</file>

<file path=docProps/custom.xml><?xml version="1.0" encoding="utf-8"?>
<Properties xmlns="http://schemas.openxmlformats.org/officeDocument/2006/custom-properties" xmlns:vt="http://schemas.openxmlformats.org/officeDocument/2006/docPropsVTypes"/>
</file>