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66. Qorin tifi va paratiflarni aniqlashda laboratoriya tekshiruvlari. Epidemiyaga qarshi chora-tadbirlarni rejalashtirish</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Qorin tifi (ich terlama) va paratiflar — Salmonella Typhi hamda Paratyphi A, B, C qo'zg'atadigan, ingichka ichak limfatik apparatining yarali zararlanishi, bakteriemiya va umumiy intoksikatsiya bilan kechadigan antroponoz infeksiyalar. Ularning klinik ko'rinishi ko'p kasalliklarga (bezgak, brutsellyoz, Ku-isitma, sepsis va boshqalar) o'xshashligi sababli tashxis laboratoriya tasdig'i bilan qo'yiladi [1][2]. JSST ma'lumotiga ko'ra, kasallik asosan sanitariya sharoiti yomon, toza suv yetishmaydigan hududlarda tarqaladi va aniq tashxis bakteriologik tekshiruvga tayanadi [3]. Epidemiyaga qarshi tadbirlar rejasi aynan laboratoriya natijalariga bog'lanadi.</w:t>
      </w:r>
    </w:p>
    <w:p>
      <w:pPr>
        <w:pStyle w:val="Heading2"/>
        <w:spacing w:after="100" w:before="200"/>
      </w:pPr>
      <w:r>
        <w:rPr>
          <w:rFonts w:ascii="Times New Roman" w:cs="Times New Roman" w:eastAsia="Times New Roman" w:hAnsi="Times New Roman"/>
          <w:b/>
          <w:bCs/>
          <w:sz w:val="28"/>
          <w:szCs w:val="28"/>
        </w:rPr>
        <w:t xml:space="preserve">Qo'zg'atuvchi va laboratoriya uchun muhim xususiyatlari</w:t>
      </w:r>
    </w:p>
    <w:p>
      <w:pPr>
        <w:spacing w:after="120" w:line="276"/>
        <w:ind w:firstLine="567"/>
        <w:jc w:val="both"/>
      </w:pPr>
      <w:r>
        <w:rPr>
          <w:rFonts w:ascii="Times New Roman" w:cs="Times New Roman" w:eastAsia="Times New Roman" w:hAnsi="Times New Roman"/>
          <w:sz w:val="28"/>
          <w:szCs w:val="28"/>
        </w:rPr>
        <w:t xml:space="preserve">Salmonella turkumi Berge tasnifining 10-nashriga ko'ra ikki turga bo'linadi: S. bongori va S. enterica; ikkinchisi 6 kenja tur va taxminan 2500 serovarni o'z ichiga oladi. Qorin tifi va paratif qo'zg'atuvchilari — S. enterica subsp. enterica tarkibidagi serovarlar (S. Typhi, S. Paratyphi A, B) [2]. Ular mayda gramm-manfiy, peritrix xivchinlar hisobiga harakatchan tayoqchalar; o'sishning optimal harorati 35–37 °C, optimal pH 6,5–7,5, +5 °C dan past haroratda o'smaydi [2]. Antigen tuzilishida termostabil O-antigen (somatik), termolabil H-antigen (xivchin) va Vi-antigen ajratiladi; serologik guruhlar lotin bosh harflari bilan belgilanadi [1][2].</w:t>
      </w:r>
    </w:p>
    <w:p>
      <w:pPr>
        <w:pStyle w:val="Heading2"/>
        <w:spacing w:after="100" w:before="200"/>
      </w:pPr>
      <w:r>
        <w:rPr>
          <w:rFonts w:ascii="Times New Roman" w:cs="Times New Roman" w:eastAsia="Times New Roman" w:hAnsi="Times New Roman"/>
          <w:b/>
          <w:bCs/>
          <w:sz w:val="28"/>
          <w:szCs w:val="28"/>
        </w:rPr>
        <w:t xml:space="preserve">Tekshiruv materiallari va muddatlari</w:t>
      </w:r>
    </w:p>
    <w:p>
      <w:pPr>
        <w:spacing w:after="120" w:line="276"/>
        <w:ind w:firstLine="567"/>
        <w:jc w:val="both"/>
      </w:pPr>
      <w:r>
        <w:rPr>
          <w:rFonts w:ascii="Times New Roman" w:cs="Times New Roman" w:eastAsia="Times New Roman" w:hAnsi="Times New Roman"/>
          <w:sz w:val="28"/>
          <w:szCs w:val="28"/>
        </w:rPr>
        <w:t xml:space="preserve">Tekshiruv usulini tanlash kasallik davriga bog'liq. Uslubiy ko'rsatmada quyidagi asosiy usullar keltirilgan:</w:t>
      </w:r>
    </w:p>
    <w:p>
      <w:pPr>
        <w:pStyle w:val="ListParagraph"/>
        <w:numPr>
          <w:ilvl w:val="0"/>
          <w:numId w:val="2"/>
        </w:numPr>
        <w:spacing w:after="60" w:line="276"/>
        <w:jc w:val="both"/>
      </w:pPr>
      <w:r>
        <w:rPr>
          <w:rFonts w:ascii="Times New Roman" w:cs="Times New Roman" w:eastAsia="Times New Roman" w:hAnsi="Times New Roman"/>
          <w:sz w:val="28"/>
          <w:szCs w:val="28"/>
        </w:rPr>
        <w:t xml:space="preserve">Gemokultura — asosiy usul. Bakteriyalar yashirin davrdan keyin butun isitma davrida, qaytalanishlarda ham qonda bo'ladi. Qon klinik belgilari tifga mos va 3–5 kundan beri isitmalayotgan har bir bemordan olinadi: kattalardan 5–15 ml, bolalardan 2–5 ml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Tezlashtirilgan gemokultura — flakondagi qon 37 °C da 5–6 soat o'stirilib, Endo yoki Levin muhitiga, Olkenitskiy yoki Kligler muhitiga va yarim suyuq mannitga ekiladi; Ploskirev muhitidan foydalanilmaydi. Shu usul bilan tashxis 4–5-kunda qo'yiladi; manfiy javob qonni 8-sutkagacha 5 marta ekkandan keyin beriladi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Koprokultura — najas kasallikning 1-haftasidan, ayniqsa 8–10-kunlaridan va 3-haftada ko'p miqdorda ajraladi. Material tabiiy defekatsiyadan keyin, najasning oxirgi porsiyasidan 5–25 g miqdorida olinib, 1:10 nisbatda to'yingan peptonli suvga ekiladi; 37 °C da 16–20 soat birlamchi boyitish, 2-kuni selektiv boyitish muhitiga o'tkaziladi. Koprokultura rekonvalessentlarni nazorat qilishda ham qo'llanadi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Biliokultura — tuzalganlarning o'ti (duodenal zond, A, B, C porsiyalar) tekshiriladi; C porsiyaning pH i 7,2 ga keltiriladi, chunki kislotali muhitda o'sish susayadi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Mielokultura — ko'krak yoki son suyagi punktati, faqat davolovchi shifokor ishtirokida olinadi; harorat normal bo'lganda ham musbat natija berishi mumkin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Serologik tekshiruvlar — Vidal reaksiyasi va passiv gemagglyutinatsiya reaksiyasi (RPGA).</w:t>
      </w:r>
    </w:p>
    <w:p>
      <w:pPr>
        <w:spacing w:after="120" w:line="276"/>
        <w:ind w:firstLine="567"/>
        <w:jc w:val="both"/>
      </w:pPr>
      <w:r>
        <w:rPr>
          <w:rFonts w:ascii="Times New Roman" w:cs="Times New Roman" w:eastAsia="Times New Roman" w:hAnsi="Times New Roman"/>
          <w:sz w:val="28"/>
          <w:szCs w:val="28"/>
        </w:rPr>
        <w:t xml:space="preserve">Eslatma: roseola ustidan olinadigan material usuli gemokultura bilan almashtirilgan, chunki toshma 2-haftada paydo bo'lib, tez izsiz yo'qoladi. Gemokulturaning musbat chiqish ulushi kasallik davriga va olingan qon hajmiga bog'liq, shu sababli material kasallikning birinchi-ikkinchi haftasida va antibiotikdan oldin olinishi muhim [2].</w:t>
      </w:r>
    </w:p>
    <w:p>
      <w:pPr>
        <w:pStyle w:val="Heading2"/>
        <w:spacing w:after="100" w:before="200"/>
      </w:pPr>
      <w:r>
        <w:rPr>
          <w:rFonts w:ascii="Times New Roman" w:cs="Times New Roman" w:eastAsia="Times New Roman" w:hAnsi="Times New Roman"/>
          <w:b/>
          <w:bCs/>
          <w:sz w:val="28"/>
          <w:szCs w:val="28"/>
        </w:rPr>
        <w:t xml:space="preserve">Serologik diagnostika va uning cheklovlari</w:t>
      </w:r>
    </w:p>
    <w:p>
      <w:pPr>
        <w:spacing w:after="120" w:line="276"/>
        <w:ind w:firstLine="567"/>
        <w:jc w:val="both"/>
      </w:pPr>
      <w:r>
        <w:rPr>
          <w:rFonts w:ascii="Times New Roman" w:cs="Times New Roman" w:eastAsia="Times New Roman" w:hAnsi="Times New Roman"/>
          <w:sz w:val="28"/>
          <w:szCs w:val="28"/>
        </w:rPr>
        <w:t xml:space="preserve">Antitanalar kasallikning 4–5-kunidan paydo bo'ladi, shuning uchun qon birinchi kundan boshlab olinib, titr dinamikasini kuzatish uchun qayta olinadi (juft zardoblar). Vidal reaksiyasining bashorat qiymati cheklangan: homiladorlik, sil, xavfli o'smalar, bezgakda ham musbat bo'lishi mumkin; qorin tifiga qarshi emlanganlarda titr 1:200–1:400 gacha bo'ladi, shu sababli klinik manzara va titrning o'sishi hisobga olinadi [2]. Antitana miqdori 2-haftaning oxiri — 3-haftada maksimumga yetadi, bu davrda antibiotik buyurilsa antitana hosil bo'lishi buzilishi mumkin [2]. RPGA Vidalga qaraganda sezgir: diagnostik titr O va H eritrotsitar diagnostikum bilan 1:160–1:320. Surunkali tashuvchilarni aniqlash uchun Vi-RPGA qo'llanadi (musbat titr 1:40 va undan yuqori), biroq serologik tekshiruv tashuvchilikni tasdiqlash uchun yetarli asos emas — bu faqat bakteriologik ajratish bilan isbotlanadi [2].</w:t>
      </w:r>
    </w:p>
    <w:p>
      <w:pPr>
        <w:pStyle w:val="Heading2"/>
        <w:spacing w:after="100" w:before="200"/>
      </w:pPr>
      <w:r>
        <w:rPr>
          <w:rFonts w:ascii="Times New Roman" w:cs="Times New Roman" w:eastAsia="Times New Roman" w:hAnsi="Times New Roman"/>
          <w:b/>
          <w:bCs/>
          <w:sz w:val="28"/>
          <w:szCs w:val="28"/>
        </w:rPr>
        <w:t xml:space="preserve">Epidemiologik ahamiyati: manbalar va tashuvchilar</w:t>
      </w:r>
    </w:p>
    <w:p>
      <w:pPr>
        <w:spacing w:after="120" w:line="276"/>
        <w:ind w:firstLine="567"/>
        <w:jc w:val="both"/>
      </w:pPr>
      <w:r>
        <w:rPr>
          <w:rFonts w:ascii="Times New Roman" w:cs="Times New Roman" w:eastAsia="Times New Roman" w:hAnsi="Times New Roman"/>
          <w:sz w:val="28"/>
          <w:szCs w:val="28"/>
        </w:rPr>
        <w:t xml:space="preserve">Yo'riqnomaga ko'ra, kasallik manbai faqat odam: o'tkir bemor, rekonvalessent yoki bakteriya tashuvchi. Bakteriyalar 2–3-haftada najas (har gramm najasda yuz millionlab) va siydik orqali eng ko'p ajraladi [1]. Tashuvchilar uch toifaga bo'linadi: o'tkir (3 oygacha ajratadi, tuzalganlarning 20% va undan ko'pi), surunkali (3 oy va undan uzoq, 3–5%) va tranzitor (qo'zg'atuvchi najasda bir marta aniqlanadi; siydik yoki o't suyuqligida topilsa tranzitorlik inkor etiladi) [1]. Surunkali yoki tranzitor tashuvchilikni faqat shifoxona sharoitida aniqlash mumkin. Shuning uchun oziq-ovqat korxonalariga ishga kiruvchilar tekshiruvdan o'tkazilib, tashuvchilar bunday ishdan chetlatiladi [1].</w:t>
      </w:r>
    </w:p>
    <w:p>
      <w:pPr>
        <w:pStyle w:val="Heading2"/>
        <w:spacing w:after="100" w:before="200"/>
      </w:pPr>
      <w:r>
        <w:rPr>
          <w:rFonts w:ascii="Times New Roman" w:cs="Times New Roman" w:eastAsia="Times New Roman" w:hAnsi="Times New Roman"/>
          <w:b/>
          <w:bCs/>
          <w:sz w:val="28"/>
          <w:szCs w:val="28"/>
        </w:rPr>
        <w:t xml:space="preserve">Epidemiyaga qarshi chora-tadbirlarni rejalashtirish</w:t>
      </w:r>
    </w:p>
    <w:p>
      <w:pPr>
        <w:spacing w:after="120" w:line="276"/>
        <w:ind w:firstLine="567"/>
        <w:jc w:val="both"/>
      </w:pPr>
      <w:r>
        <w:rPr>
          <w:rFonts w:ascii="Times New Roman" w:cs="Times New Roman" w:eastAsia="Times New Roman" w:hAnsi="Times New Roman"/>
          <w:sz w:val="28"/>
          <w:szCs w:val="28"/>
        </w:rPr>
        <w:t xml:space="preserve">Yo'riqnomada hududlar tasniflanadi: oxirgi 3–5 yil davomida har yili qorin tifi bemori yoki surunkali tashuvchi qayd etilgan joy qorin tifi bo'yicha kichik noxush hudud hisoblanadi; paratiflar uchun ham xuddi shu mezon qo'llanadi [1]. Nazorat rejasida laboratoriya tekshiruvlari quyidagicha rejalashtiriladi: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Poliklinika va davolash muassasalarida 3–5 kundan ortiq isitmalagan har bir bemordan antibiotik berilishidan oldin gemokulturaga qon olish; shifokorlar va hamshiralarni material olish qoidalariga o'qitish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Bemor va kontaktlardan najas, siydik (va ko'rsatma bo'lsa o't) olish; hududiy sanitariya-epidemiologiya xizmati laboratoriyasida bakteriologik va serologik tekshirish.</w:t>
      </w:r>
    </w:p>
    <w:p>
      <w:pPr>
        <w:pStyle w:val="ListParagraph"/>
        <w:numPr>
          <w:ilvl w:val="0"/>
          <w:numId w:val="3"/>
        </w:numPr>
        <w:spacing w:after="60" w:line="276"/>
        <w:jc w:val="both"/>
      </w:pPr>
      <w:r>
        <w:rPr>
          <w:rFonts w:ascii="Times New Roman" w:cs="Times New Roman" w:eastAsia="Times New Roman" w:hAnsi="Times New Roman"/>
          <w:sz w:val="28"/>
          <w:szCs w:val="28"/>
        </w:rPr>
        <w:t xml:space="preserve">Suv magistrallari, ilgari kasallanish va surunkali tashuvchilar yashaydigan manzillar, maktab, MTM, oshxona va boshqa epidemik ahamiyatli ob'ektlar tushirilgan kartogramma tuzish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Rekonvalessentlar va oziq-ovqat tizimi xodimlarini diqqat bilan bakteriologik nazorat qilish, tashuvchilarni hisobga olish va dispanser kuzatuviga olish.</w:t>
      </w:r>
    </w:p>
    <w:p>
      <w:pPr>
        <w:pStyle w:val="ListParagraph"/>
        <w:numPr>
          <w:ilvl w:val="0"/>
          <w:numId w:val="3"/>
        </w:numPr>
        <w:spacing w:after="60" w:line="276"/>
        <w:jc w:val="both"/>
      </w:pPr>
      <w:r>
        <w:rPr>
          <w:rFonts w:ascii="Times New Roman" w:cs="Times New Roman" w:eastAsia="Times New Roman" w:hAnsi="Times New Roman"/>
          <w:sz w:val="28"/>
          <w:szCs w:val="28"/>
        </w:rPr>
        <w:t xml:space="preserve">Suv, oziq-ovqat va ichki muhit namunalarini mavsumiy (yoz) ko'tarilish davrida kuchaytirilgan tarzda tekshirish [1].</w:t>
      </w:r>
    </w:p>
    <w:p>
      <w:pPr>
        <w:spacing w:after="120" w:line="276"/>
        <w:ind w:firstLine="567"/>
        <w:jc w:val="both"/>
      </w:pPr>
      <w:r>
        <w:rPr>
          <w:rFonts w:ascii="Times New Roman" w:cs="Times New Roman" w:eastAsia="Times New Roman" w:hAnsi="Times New Roman"/>
          <w:sz w:val="28"/>
          <w:szCs w:val="28"/>
        </w:rPr>
        <w:t xml:space="preserve">O'choqda yakuniy dezinfeksiya SanQvaN 0090-25 talablariga muvofiq o'tkaziladi; qo'zg'atuvchi dezinfeksiya vositalari ta'sirida 30–45 daqiqada o'ladi [1][4]. Aholining sanitariya-epidemiologik osoyishtaligi to'g'risidagi Qonunning 32-moddasi o'choqlarda tadbirlarni belgilaydi [5].</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Qorin tifi va paratiflarda laboratoriya tashxisining asosi — kasallikning erta davrida olingan qon gemokulturasi; keyingi haftalarda koprokultura, siydik va o't tekshiruvi, serologik reaksiyalar qo'shiladi. Serologik natijalar yagona asos bo'la olmaydi va klinik hamda epidemiologik ma'lumotlar bilan birga baholanadi. Tashuvchilarni aniqlash, kartogramma asosida xavfli hududlarni belgilash va o'z vaqtida o'choq tadbirlari epidemiyaga qarshi rejaning o'zagini tashkil etadi. Buyruqning qaysi ilovasi qachon qabul qilingani matnda aniq ko'rsatilmagan — bu tasdiqlanmagan.</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vazirining 25.03.2015-yildagi buyrug'iga 2-ilova: ich terlama va paratif kasalliklarini oldini olish bo'yicha yo'riqnoma. Manba: xayrullokomilov.uz/kutubxona, material № 436 (kutubxonada "Buyruq № 122"; matn ichida "122" va "125" ikkalasi uchraydi — raqam tasdiqlanmagan; matn kirill yozuvida).</w:t>
      </w:r>
    </w:p>
    <w:p>
      <w:pPr>
        <w:pStyle w:val="ListParagraph"/>
        <w:numPr>
          <w:ilvl w:val="0"/>
          <w:numId w:val="4"/>
        </w:numPr>
        <w:spacing w:after="80" w:line="260"/>
      </w:pPr>
      <w:r>
        <w:rPr>
          <w:rFonts w:ascii="Times New Roman" w:cs="Times New Roman" w:eastAsia="Times New Roman" w:hAnsi="Times New Roman"/>
          <w:sz w:val="28"/>
          <w:szCs w:val="28"/>
        </w:rPr>
        <w:t xml:space="preserve">Uslubiy ko'rsatma (Sog'liqni saqlash vazirligi buyrug'iga 5-ilova, sanasi va raqami bo'sh qoldirilgan loyiha matni): Ich terlama va paratif kasalliklarining bakteriologik va serologik diagnostikasi. Manba: xayrullokomilov.uz/kutubxona, material № 1891 (matn kirill yozuvida; rasmiy kuchga kirgan sanasi tasdiqlanmagan).</w:t>
      </w:r>
    </w:p>
    <w:p>
      <w:pPr>
        <w:pStyle w:val="ListParagraph"/>
        <w:numPr>
          <w:ilvl w:val="0"/>
          <w:numId w:val="4"/>
        </w:numPr>
        <w:spacing w:after="80" w:line="260"/>
      </w:pPr>
      <w:r>
        <w:rPr>
          <w:rFonts w:ascii="Times New Roman" w:cs="Times New Roman" w:eastAsia="Times New Roman" w:hAnsi="Times New Roman"/>
          <w:sz w:val="28"/>
          <w:szCs w:val="28"/>
        </w:rPr>
        <w:t xml:space="preserve">World Health Organization. Typhoid (fact sheet). URL: https://www.who.int/news-room/fact-sheets/detail/typhoid (kirilgan sana: 30.10.2026).</w:t>
      </w:r>
    </w:p>
    <w:p>
      <w:pPr>
        <w:pStyle w:val="ListParagraph"/>
        <w:numPr>
          <w:ilvl w:val="0"/>
          <w:numId w:val="4"/>
        </w:numPr>
        <w:spacing w:after="80" w:line="260"/>
      </w:pPr>
      <w:r>
        <w:rPr>
          <w:rFonts w:ascii="Times New Roman" w:cs="Times New Roman" w:eastAsia="Times New Roman" w:hAnsi="Times New Roman"/>
          <w:sz w:val="28"/>
          <w:szCs w:val="28"/>
        </w:rPr>
        <w:t xml:space="preserve">SanQvaN № 0090-25 (SEO va JS qo'mitasi qarori, Toshkent, 05.05.2025, № 8; Adliya vazirligida 03.06.2025-yilda 350-raqam bilan ro'yxatga olingan). URL: https://lex.uz/en/docs/-7556121. Manba: xayrullokomilov.uz/kutubxona, material № 660.</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Respublikasining "Aholining sanitariya-epidemiologik osoyishtaligi to'g'risida"gi Qonuni (Qonunchilik palatasi 2015-yil 15-iyulda qabul qilgan, Senat 2015-yil 6-avgustda ma'qullagan), 32-modda. URL: https://lex.uz/docs/2732587. Manba: xayrullokomilov.uz/kutubxona, material № 201 (asosiy raqami matnda ko'rsatilmagan — tasdiqlanmagan).</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66. Qorin tifi va paratiflarni aniqlashda laboratoriya tekshiruvlari. Epidemiyaga qarshi chora-tadbirlarni rejalashtirish</dc:title>
  <dc:creator>Epidemiologiya</dc:creator>
  <cp:lastModifiedBy>Un-named</cp:lastModifiedBy>
  <cp:revision>1</cp:revision>
  <dcterms:created xsi:type="dcterms:W3CDTF">2026-10-30T02:40:40.775Z</dcterms:created>
  <dcterms:modified xsi:type="dcterms:W3CDTF">2026-10-30T02:40:40.775Z</dcterms:modified>
</cp:coreProperties>
</file>

<file path=docProps/custom.xml><?xml version="1.0" encoding="utf-8"?>
<Properties xmlns="http://schemas.openxmlformats.org/officeDocument/2006/custom-properties" xmlns:vt="http://schemas.openxmlformats.org/officeDocument/2006/docPropsVTypes"/>
</file>