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240"/>
        <w:jc w:val="center"/>
      </w:pPr>
      <w:r>
        <w:rPr>
          <w:rFonts w:ascii="Times New Roman" w:cs="Times New Roman" w:eastAsia="Times New Roman" w:hAnsi="Times New Roman"/>
          <w:b/>
          <w:bCs/>
          <w:sz w:val="28"/>
          <w:szCs w:val="28"/>
        </w:rPr>
        <w:t xml:space="preserve">095. Brutsellez kasalligining epidemiologiyasi va profilaktikasi</w:t>
      </w:r>
    </w:p>
    <w:p>
      <w:pPr>
        <w:pStyle w:val="Heading2"/>
        <w:spacing w:after="100" w:before="200"/>
      </w:pPr>
      <w:r>
        <w:rPr>
          <w:rFonts w:ascii="Times New Roman" w:cs="Times New Roman" w:eastAsia="Times New Roman" w:hAnsi="Times New Roman"/>
          <w:b/>
          <w:bCs/>
          <w:sz w:val="28"/>
          <w:szCs w:val="28"/>
        </w:rPr>
        <w:t xml:space="preserve">Kirish</w:t>
      </w:r>
    </w:p>
    <w:p>
      <w:pPr>
        <w:spacing w:after="120" w:line="276"/>
        <w:ind w:firstLine="567"/>
        <w:jc w:val="both"/>
      </w:pPr>
      <w:r>
        <w:rPr>
          <w:rFonts w:ascii="Times New Roman" w:cs="Times New Roman" w:eastAsia="Times New Roman" w:hAnsi="Times New Roman"/>
          <w:sz w:val="28"/>
          <w:szCs w:val="28"/>
        </w:rPr>
        <w:t xml:space="preserve">Brutsellyoz (Malta isitmasi, Bang kasalligi) — turli yuqish yo'llariga ega, ko'p a'zo va tizimlarni, asosan tayanch-harakat va asab tizimini zararlaydigan, intoksikatsiya va allergiya bilan namoyon bo'ladigan, ko'pincha surunkali kechib nogironlikka olib keladigan polietiologik zooantroponoz o'ta xavfli infeksiya [1]. JSST bo'yicha brutsellyoz dunyoda eng keng tarqalgan zoonozlardan biri, ko'pchilik mamlakatlarda majburiy xabar qilinadigan kasallik; u asosan qoramol, cho'chqa, echki, qo'y va itlarni zararlaydi [2].</w:t>
      </w:r>
    </w:p>
    <w:p>
      <w:pPr>
        <w:pStyle w:val="Heading2"/>
        <w:spacing w:after="100" w:before="200"/>
      </w:pPr>
      <w:r>
        <w:rPr>
          <w:rFonts w:ascii="Times New Roman" w:cs="Times New Roman" w:eastAsia="Times New Roman" w:hAnsi="Times New Roman"/>
          <w:b/>
          <w:bCs/>
          <w:sz w:val="28"/>
          <w:szCs w:val="28"/>
        </w:rPr>
        <w:t xml:space="preserve">Qo'zg'atuvchi</w:t>
      </w:r>
    </w:p>
    <w:p>
      <w:pPr>
        <w:spacing w:after="120" w:line="276"/>
        <w:ind w:firstLine="567"/>
        <w:jc w:val="both"/>
      </w:pPr>
      <w:r>
        <w:rPr>
          <w:rFonts w:ascii="Times New Roman" w:cs="Times New Roman" w:eastAsia="Times New Roman" w:hAnsi="Times New Roman"/>
          <w:sz w:val="28"/>
          <w:szCs w:val="28"/>
        </w:rPr>
        <w:t xml:space="preserve">Qo'zg'atuvchi — Brucella turkumi mikroorganizmlari. O'zbekistonda B. melitensis, B. abortus, B. suis va B. ovis aylanadi; B. melitensis (qo'y-echki) Markaziy Osiyoda, shu jumladan O'zbekistonda, odamlarda kasallikning 90% dan ortig'ini keltirib chiqaradi va eng yuqumli: kasallik chaqirish uchun 1–10 ta mikrob yetarli, B. abortus uchun 1 000 000 ta kerak [1]. JSST ham dunyoda odam brutsellyozida B. melitensis eng ko'p uchrashini ko'rsatadi [2]. Brutsellalar sharsimon yoki tayoqchasimon (0,3–0,6 va 0,6–2,5 mkm), sporasiz, xivchinsiz, gramm-manfiy, sekin o'sadi (optimal 37 °C, pH 6,8–7,2); suyuq muhitda +60 °C da 30 daqiqada, +80–85 °C da 5 daqiqada, qaynatilganda darhol o'ladi; quyoshda 4–5 soatda, tuproqda 100 kun, suvda 114 kungacha, sutda 10 kun, brinzada 45 kungacha, junda 3 oygacha saqlanadi; 2% fenol, 3% kreolin va lizol, 0,2–1% xlor aralashmasi va xloramin bir necha daqiqada o'ldiradi [1].</w:t>
      </w:r>
    </w:p>
    <w:p>
      <w:pPr>
        <w:pStyle w:val="Heading2"/>
        <w:spacing w:after="100" w:before="200"/>
      </w:pPr>
      <w:r>
        <w:rPr>
          <w:rFonts w:ascii="Times New Roman" w:cs="Times New Roman" w:eastAsia="Times New Roman" w:hAnsi="Times New Roman"/>
          <w:b/>
          <w:bCs/>
          <w:sz w:val="28"/>
          <w:szCs w:val="28"/>
        </w:rPr>
        <w:t xml:space="preserve">Epidemiologiyasi</w:t>
      </w:r>
    </w:p>
    <w:p>
      <w:pPr>
        <w:pStyle w:val="ListParagraph"/>
        <w:numPr>
          <w:ilvl w:val="0"/>
          <w:numId w:val="2"/>
        </w:numPr>
        <w:spacing w:after="60" w:line="276"/>
        <w:jc w:val="both"/>
      </w:pPr>
      <w:r>
        <w:rPr>
          <w:rFonts w:ascii="Times New Roman" w:cs="Times New Roman" w:eastAsia="Times New Roman" w:hAnsi="Times New Roman"/>
          <w:sz w:val="28"/>
          <w:szCs w:val="28"/>
        </w:rPr>
        <w:t xml:space="preserve">Manba. Tabiiy rezervuar — hayvonlar, shu sababli brutsellyoz epidemiologiyasini to'liq epizootologiya belgilaydi. Odamlar uchun manba — qo'y, echki, qoramol, cho'chqa, shimol bug'usi, ba'zan ot, tuya, it, mushuk. O'zbekistonda asosiy manba — mayda va yirik shoxli mollar; guruhli kasallanish ko'proq noxush qo'ychilik-chorva xo'jaliklarida, qoramol va cho'chqa fermalarida sporadik. Odam manba sifatida epidemiologik ahamiyatga ega emas [1]. JSST bo'yicha odamdan odamga yuqish juda kam [2].</w:t>
      </w:r>
    </w:p>
    <w:p>
      <w:pPr>
        <w:pStyle w:val="ListParagraph"/>
        <w:numPr>
          <w:ilvl w:val="0"/>
          <w:numId w:val="2"/>
        </w:numPr>
        <w:spacing w:after="60" w:line="276"/>
        <w:jc w:val="both"/>
      </w:pPr>
      <w:r>
        <w:rPr>
          <w:rFonts w:ascii="Times New Roman" w:cs="Times New Roman" w:eastAsia="Times New Roman" w:hAnsi="Times New Roman"/>
          <w:sz w:val="28"/>
          <w:szCs w:val="28"/>
        </w:rPr>
        <w:t xml:space="preserve">Hayvonlarda kasallik klinikasi polimorf, asosiy belgi — abort. Bola tashlash, tug'ish va sut orqali ko'p miqdorda brutsellalar ajraladi; hayvon 5 yil va undan uzoq vaqt tashuvchi bo'lib qolishi mumkin [1].</w:t>
      </w:r>
    </w:p>
    <w:p>
      <w:pPr>
        <w:pStyle w:val="ListParagraph"/>
        <w:numPr>
          <w:ilvl w:val="0"/>
          <w:numId w:val="2"/>
        </w:numPr>
        <w:spacing w:after="60" w:line="276"/>
        <w:jc w:val="both"/>
      </w:pPr>
      <w:r>
        <w:rPr>
          <w:rFonts w:ascii="Times New Roman" w:cs="Times New Roman" w:eastAsia="Times New Roman" w:hAnsi="Times New Roman"/>
          <w:sz w:val="28"/>
          <w:szCs w:val="28"/>
        </w:rPr>
        <w:t xml:space="preserve">Yuqish yo'llari: kontakt (shikastlanmagan teri orqali ham, ko'z, burun, og'iz shilliq qavatlari orqali), alimentar (xom sut — ayniqsa qo'y-echki sutidan olingan brinza, qaymoq, smetana, qimiz; kam termik ishlov berilgan go'sht), aerogen (tug'ish va abortda yordam berishda, jun qirqish, terini qayta ishlashda; laboratoriyada aerozollar), aralash [1]. JSST: ko'pchilik hollar xom sut yoki pishloq iste'moli bilan bog'liq, shuningdek chorvachilik, qassoblik, ovchilik, veterinariya va laboratoriya xodimlari uchun kasbiy xavf [2].</w:t>
      </w:r>
    </w:p>
    <w:p>
      <w:pPr>
        <w:pStyle w:val="ListParagraph"/>
        <w:numPr>
          <w:ilvl w:val="0"/>
          <w:numId w:val="2"/>
        </w:numPr>
        <w:spacing w:after="60" w:line="276"/>
        <w:jc w:val="both"/>
      </w:pPr>
      <w:r>
        <w:rPr>
          <w:rFonts w:ascii="Times New Roman" w:cs="Times New Roman" w:eastAsia="Times New Roman" w:hAnsi="Times New Roman"/>
          <w:sz w:val="28"/>
          <w:szCs w:val="28"/>
        </w:rPr>
        <w:t xml:space="preserve">Mavsumiylik xo'jalik faoliyatiga bog'liq: qo'y-echki brutsellyozi uchun bahor-yoz (qo'zilatish, abort, jun olish, cho'milish); qoramolda mavsumiylik kuchsiz [1].</w:t>
      </w:r>
    </w:p>
    <w:p>
      <w:pPr>
        <w:pStyle w:val="ListParagraph"/>
        <w:numPr>
          <w:ilvl w:val="0"/>
          <w:numId w:val="2"/>
        </w:numPr>
        <w:spacing w:after="60" w:line="276"/>
        <w:jc w:val="both"/>
      </w:pPr>
      <w:r>
        <w:rPr>
          <w:rFonts w:ascii="Times New Roman" w:cs="Times New Roman" w:eastAsia="Times New Roman" w:hAnsi="Times New Roman"/>
          <w:sz w:val="28"/>
          <w:szCs w:val="28"/>
        </w:rPr>
        <w:t xml:space="preserve">Inkubatsiya davri o'zgaruvchan: JSST bo'yicha 1 haftadan 2 oygacha, odatda 2–4 hafta [2].</w:t>
      </w:r>
    </w:p>
    <w:p>
      <w:pPr>
        <w:pStyle w:val="Heading2"/>
        <w:spacing w:after="100" w:before="200"/>
      </w:pPr>
      <w:r>
        <w:rPr>
          <w:rFonts w:ascii="Times New Roman" w:cs="Times New Roman" w:eastAsia="Times New Roman" w:hAnsi="Times New Roman"/>
          <w:b/>
          <w:bCs/>
          <w:sz w:val="28"/>
          <w:szCs w:val="28"/>
        </w:rPr>
        <w:t xml:space="preserve">Laboratoriya tashxisi</w:t>
      </w:r>
    </w:p>
    <w:p>
      <w:pPr>
        <w:spacing w:after="120" w:line="276"/>
        <w:ind w:firstLine="567"/>
        <w:jc w:val="both"/>
      </w:pPr>
      <w:r>
        <w:rPr>
          <w:rFonts w:ascii="Times New Roman" w:cs="Times New Roman" w:eastAsia="Times New Roman" w:hAnsi="Times New Roman"/>
          <w:sz w:val="28"/>
          <w:szCs w:val="28"/>
        </w:rPr>
        <w:t xml:space="preserve">Ikki guruh usullar: qo'zg'atuvchi va uning eruvchan antigenlarini aniqlash (bakteriologik) hamda qon zardobida maxsus antitanalarni aniqlash. Brutsellalar oziq muhitlarida, ayniqsa birlamchi ajratishda juda sekin o'sadi: qon, suyak ko'migi va siydikdan ekilganda madaniyat 5–10 kundan, ba'zan 20–30 kundan keyin ajraladi; qon isitma paytida va antibiotiklardan oldin olinadi. O'choqlarda aholini epidemiologik tekshirishda Xeddelson (buyum oynasida), Rayt agglyutinatsiyasi va IFT tavsiya etiladi [3]. I–II guruh xavfli biologik agentlar bilan ishlash biologik xavfsizlik qoidalariga qat'iy rioya qilingan sharoitda o'tkaziladi [3].</w:t>
      </w:r>
    </w:p>
    <w:p>
      <w:pPr>
        <w:pStyle w:val="Heading2"/>
        <w:spacing w:after="100" w:before="200"/>
      </w:pPr>
      <w:r>
        <w:rPr>
          <w:rFonts w:ascii="Times New Roman" w:cs="Times New Roman" w:eastAsia="Times New Roman" w:hAnsi="Times New Roman"/>
          <w:b/>
          <w:bCs/>
          <w:sz w:val="28"/>
          <w:szCs w:val="28"/>
        </w:rPr>
        <w:t xml:space="preserve">Profilaktika</w:t>
      </w:r>
    </w:p>
    <w:p>
      <w:pPr>
        <w:spacing w:after="120" w:line="276"/>
        <w:ind w:firstLine="567"/>
        <w:jc w:val="both"/>
      </w:pPr>
      <w:r>
        <w:rPr>
          <w:rFonts w:ascii="Times New Roman" w:cs="Times New Roman" w:eastAsia="Times New Roman" w:hAnsi="Times New Roman"/>
          <w:sz w:val="28"/>
          <w:szCs w:val="28"/>
        </w:rPr>
        <w:t xml:space="preserve">Profilaktika veterinariya-sanitariya, xo'jalik va tibbiy-sanitariya tadbirlarini qamrab oladi; maqsad — hayvonlar orasida infeksiyani bartaraf etish va aholi orasida kasallikni tugatish. Epidemik xotirjamlikning asosi — avval hayvonlar orasida infeksiyani oldini olish va epizootiya o'choqlarini yo'qotish [1]. JSST ham eng samarali strategiya hayvonlarda infeksiyani yo'qotish ekanini, endemik joylarda qoramol, echki va qo'yni emlash tavsiya etilishini, sutni pasterizatsiya qilish muhimligini ta'kidlaydi [2]. Tibbiy-sanitariya tadbirlari: (1) odamlarni infeksiyadan himoyalash; (2) kasbiy kontingentlarni profilaktik ko'rikdan o'tkazish; (3) sanitariya-targ'ibot [1].</w:t>
      </w:r>
    </w:p>
    <w:p>
      <w:pPr>
        <w:pStyle w:val="Heading2"/>
        <w:spacing w:after="100" w:before="200"/>
      </w:pPr>
      <w:r>
        <w:rPr>
          <w:rFonts w:ascii="Times New Roman" w:cs="Times New Roman" w:eastAsia="Times New Roman" w:hAnsi="Times New Roman"/>
          <w:b/>
          <w:bCs/>
          <w:sz w:val="28"/>
          <w:szCs w:val="28"/>
        </w:rPr>
        <w:t xml:space="preserve">Epidemiyaga qarshi chora-tadbirlarni rejalashtirish</w:t>
      </w:r>
    </w:p>
    <w:p>
      <w:pPr>
        <w:pStyle w:val="ListParagraph"/>
        <w:numPr>
          <w:ilvl w:val="0"/>
          <w:numId w:val="3"/>
        </w:numPr>
        <w:spacing w:after="60" w:line="276"/>
        <w:jc w:val="both"/>
      </w:pPr>
      <w:r>
        <w:rPr>
          <w:rFonts w:ascii="Times New Roman" w:cs="Times New Roman" w:eastAsia="Times New Roman" w:hAnsi="Times New Roman"/>
          <w:sz w:val="28"/>
          <w:szCs w:val="28"/>
        </w:rPr>
        <w:t xml:space="preserve">Epidemiologik tekshiruv: shoshilinch xabarnoma yoki veterinariya xizmatidan xo'jalikda kasal hayvon aniqlangani haqida ma'lumot olingach, bir sutka ichida o'choqda tekshiruv boshlanadi; kasbga bog'liq kasallikda professional kasallik to'g'risida shoshilinch xabarnoma ham yuboriladi [1].</w:t>
      </w:r>
    </w:p>
    <w:p>
      <w:pPr>
        <w:pStyle w:val="ListParagraph"/>
        <w:numPr>
          <w:ilvl w:val="0"/>
          <w:numId w:val="3"/>
        </w:numPr>
        <w:spacing w:after="60" w:line="276"/>
        <w:jc w:val="both"/>
      </w:pPr>
      <w:r>
        <w:rPr>
          <w:rFonts w:ascii="Times New Roman" w:cs="Times New Roman" w:eastAsia="Times New Roman" w:hAnsi="Times New Roman"/>
          <w:sz w:val="28"/>
          <w:szCs w:val="28"/>
        </w:rPr>
        <w:t xml:space="preserve">Tekshiruvni epidemiolog, sanitariya vrachi va veterinariya mutaxassislari birga o'tkazadi: hudud obodonligi, suv ta'minoti, dezinfeksiya vositalari, shaxsiy himoya vositalari, sutni pasterizatsiya rejimi, shubhali hayvonlarni serologik tekshirish, xom ashyoni tashish va qayta ishlash tartibi o'rganiladi [1].</w:t>
      </w:r>
    </w:p>
    <w:p>
      <w:pPr>
        <w:pStyle w:val="ListParagraph"/>
        <w:numPr>
          <w:ilvl w:val="0"/>
          <w:numId w:val="3"/>
        </w:numPr>
        <w:spacing w:after="60" w:line="276"/>
        <w:jc w:val="both"/>
      </w:pPr>
      <w:r>
        <w:rPr>
          <w:rFonts w:ascii="Times New Roman" w:cs="Times New Roman" w:eastAsia="Times New Roman" w:hAnsi="Times New Roman"/>
          <w:sz w:val="28"/>
          <w:szCs w:val="28"/>
        </w:rPr>
        <w:t xml:space="preserve">Manba va yuqish yo'li aniqlanadi: hayvon bilan aloqa xarakteri (kasbiy, mavsumiy ish, shaxsiy xo'jalik), xom sut va sut mahsuloti iste'moli, jun va teri bilan aloqa, laboratoriya ishi [1].</w:t>
      </w:r>
    </w:p>
    <w:p>
      <w:pPr>
        <w:pStyle w:val="ListParagraph"/>
        <w:numPr>
          <w:ilvl w:val="0"/>
          <w:numId w:val="3"/>
        </w:numPr>
        <w:spacing w:after="60" w:line="276"/>
        <w:jc w:val="both"/>
      </w:pPr>
      <w:r>
        <w:rPr>
          <w:rFonts w:ascii="Times New Roman" w:cs="Times New Roman" w:eastAsia="Times New Roman" w:hAnsi="Times New Roman"/>
          <w:sz w:val="28"/>
          <w:szCs w:val="28"/>
        </w:rPr>
        <w:t xml:space="preserve">Majburiy dispanser ko'rik: chorvachilik xo'jaliklari xodimlari, xom ashyoni qayta ishlovchilar va brutsellyoz materiali bilan ishlovchilar yiliga kamida 1 marta ko'rikdan o'tadi; terapevt Xeddelson, Rayt yoki IFT bilan serologik tekshiradi [1]. Qonunning 35-moddasi ham muayyan kasb xodimlari uchun ishga kirishda va davriy majburiy tibbiy ko'rikni belgilaydi [4].</w:t>
      </w:r>
    </w:p>
    <w:p>
      <w:pPr>
        <w:pStyle w:val="ListParagraph"/>
        <w:numPr>
          <w:ilvl w:val="0"/>
          <w:numId w:val="3"/>
        </w:numPr>
        <w:spacing w:after="60" w:line="276"/>
        <w:jc w:val="both"/>
      </w:pPr>
      <w:r>
        <w:rPr>
          <w:rFonts w:ascii="Times New Roman" w:cs="Times New Roman" w:eastAsia="Times New Roman" w:hAnsi="Times New Roman"/>
          <w:sz w:val="28"/>
          <w:szCs w:val="28"/>
        </w:rPr>
        <w:t xml:space="preserve">Dezinfeksiya: noxush xo'jalikda hayvon so'yish qoidalari, asbob-uskuna va binolarni dezinfeksiya qilish, chiqindilarni zararsizlantirish, kasal hayvon olib kelingan transportni dezinfeksiya [1].</w:t>
      </w:r>
    </w:p>
    <w:p>
      <w:pPr>
        <w:pStyle w:val="ListParagraph"/>
        <w:numPr>
          <w:ilvl w:val="0"/>
          <w:numId w:val="3"/>
        </w:numPr>
        <w:spacing w:after="60" w:line="276"/>
        <w:jc w:val="both"/>
      </w:pPr>
      <w:r>
        <w:rPr>
          <w:rFonts w:ascii="Times New Roman" w:cs="Times New Roman" w:eastAsia="Times New Roman" w:hAnsi="Times New Roman"/>
          <w:sz w:val="28"/>
          <w:szCs w:val="28"/>
        </w:rPr>
        <w:t xml:space="preserve">Aholini o'qitish va shaxsiy himoya vositalari bilan ta'minlash: xalat, rezina qo'lqop, yengcha, kleyonkali fartuk, maxsus poyabzal; xavfi yuqori ishlarga faqat yo'riqnomadan o'tgandan keyin ruxsat [1]; tibbiyot xodimlari uchun har yili I chorakda zoonoz kasalliklar bo'yicha o'quv mashg'ulotlari o'tkaziladi [5].</w:t>
      </w:r>
    </w:p>
    <w:p>
      <w:pPr>
        <w:pStyle w:val="Heading2"/>
        <w:spacing w:after="100" w:before="200"/>
      </w:pPr>
      <w:r>
        <w:rPr>
          <w:rFonts w:ascii="Times New Roman" w:cs="Times New Roman" w:eastAsia="Times New Roman" w:hAnsi="Times New Roman"/>
          <w:b/>
          <w:bCs/>
          <w:sz w:val="28"/>
          <w:szCs w:val="28"/>
        </w:rPr>
        <w:t xml:space="preserve">Xulosa</w:t>
      </w:r>
    </w:p>
    <w:p>
      <w:pPr>
        <w:spacing w:after="120" w:line="276"/>
        <w:ind w:firstLine="567"/>
        <w:jc w:val="both"/>
      </w:pPr>
      <w:r>
        <w:rPr>
          <w:rFonts w:ascii="Times New Roman" w:cs="Times New Roman" w:eastAsia="Times New Roman" w:hAnsi="Times New Roman"/>
          <w:sz w:val="28"/>
          <w:szCs w:val="28"/>
        </w:rPr>
        <w:t xml:space="preserve">Brutsellyoz tipik zoonoz: epidemik jarayon hayvonlar orasidagi epizootik vaziyatga bog'liq, odamga asosan kontakt va alimentar (xom sut mahsulotlari) yo'llar bilan yuqadi. Samarali nazorat hayvonlarda infeksiyani yo'qotish, sutni pasterizatsiya qilish, xavfi yuqori kasb guruhlarini yiliga bir marta ko'rikdan o'tkazish va aholini o'qitishga tayanadi. Hayvonlarni emlash samaradorligi bo'yicha manbalar farq qiladi: qo'llanma emlangan hayvonlarda ham gumoral immunitet buzilishi mumkinligini ko'rsatadi [1], JSST endemik hududlarda emlashni tavsiya etadi [2]; bu farq tasdiqlanmagan. Brutsellyozga oid 2014-yil 20-iyundagi 210-son buyruq 37-son buyruq bilan kuchini yo'qotgan [5].</w:t>
      </w:r>
    </w:p>
    <w:p>
      <w:pPr>
        <w:pStyle w:val="Heading2"/>
        <w:spacing w:after="100" w:before="280"/>
      </w:pPr>
      <w:r>
        <w:rPr>
          <w:rFonts w:ascii="Times New Roman" w:cs="Times New Roman" w:eastAsia="Times New Roman" w:hAnsi="Times New Roman"/>
          <w:b/>
          <w:bCs/>
          <w:sz w:val="28"/>
          <w:szCs w:val="28"/>
        </w:rPr>
        <w:t xml:space="preserve">Foydalanilgan adabiyotlar</w:t>
      </w:r>
    </w:p>
    <w:p>
      <w:pPr>
        <w:pStyle w:val="ListParagraph"/>
        <w:numPr>
          <w:ilvl w:val="0"/>
          <w:numId w:val="4"/>
        </w:numPr>
        <w:spacing w:after="80" w:line="260"/>
      </w:pPr>
      <w:r>
        <w:rPr>
          <w:rFonts w:ascii="Times New Roman" w:cs="Times New Roman" w:eastAsia="Times New Roman" w:hAnsi="Times New Roman"/>
          <w:sz w:val="28"/>
          <w:szCs w:val="28"/>
        </w:rPr>
        <w:t xml:space="preserve">O'zbekiston Respublikasi Sog'liqni saqlash vazirining 2015-yil 23-yanvardagi 37-son buyrug'iga 3-ilova: Aholi o'rtasida brutsellyoz kasalligining oldini olish chora-tadbirlarini tashkil etish va o'tkazish to'g'risida yo'riqnoma. Manba: xayrullokomilov.uz/kutubxona, material № 536 (matn kirill yozuvida; hujjatning hozirgi kuchi tasdiqlanmagan).</w:t>
      </w:r>
    </w:p>
    <w:p>
      <w:pPr>
        <w:pStyle w:val="ListParagraph"/>
        <w:numPr>
          <w:ilvl w:val="0"/>
          <w:numId w:val="4"/>
        </w:numPr>
        <w:spacing w:after="80" w:line="260"/>
      </w:pPr>
      <w:r>
        <w:rPr>
          <w:rFonts w:ascii="Times New Roman" w:cs="Times New Roman" w:eastAsia="Times New Roman" w:hAnsi="Times New Roman"/>
          <w:sz w:val="28"/>
          <w:szCs w:val="28"/>
        </w:rPr>
        <w:t xml:space="preserve">World Health Organization. Brucellosis (fact sheet). URL: https://www.who.int/news-room/fact-sheets/detail/brucellosis (kirilgan sana: 30.10.2026).</w:t>
      </w:r>
    </w:p>
    <w:p>
      <w:pPr>
        <w:pStyle w:val="ListParagraph"/>
        <w:numPr>
          <w:ilvl w:val="0"/>
          <w:numId w:val="4"/>
        </w:numPr>
        <w:spacing w:after="80" w:line="260"/>
      </w:pPr>
      <w:r>
        <w:rPr>
          <w:rFonts w:ascii="Times New Roman" w:cs="Times New Roman" w:eastAsia="Times New Roman" w:hAnsi="Times New Roman"/>
          <w:sz w:val="28"/>
          <w:szCs w:val="28"/>
        </w:rPr>
        <w:t xml:space="preserve">O'zbekiston Respublikasi Sog'liqni saqlash vazirining 2015-yil buyrug'iga 12-ilova (sana va raqami bo'sh qoldirilgan loyiha; kutubxonada "SSV №177" deb saqlangan): Brutsellyoz kasalligining laboratoriya tashxisi bo'yicha uslubiy ko'rsatma. Manba: xayrullokomilov.uz/kutubxona, material № 1898 (matn kirill yozuvida; rasmiy sanasi tasdiqlanmagan).</w:t>
      </w:r>
    </w:p>
    <w:p>
      <w:pPr>
        <w:pStyle w:val="ListParagraph"/>
        <w:numPr>
          <w:ilvl w:val="0"/>
          <w:numId w:val="4"/>
        </w:numPr>
        <w:spacing w:after="80" w:line="260"/>
      </w:pPr>
      <w:r>
        <w:rPr>
          <w:rFonts w:ascii="Times New Roman" w:cs="Times New Roman" w:eastAsia="Times New Roman" w:hAnsi="Times New Roman"/>
          <w:sz w:val="28"/>
          <w:szCs w:val="28"/>
        </w:rPr>
        <w:t xml:space="preserve">O'zbekiston Respublikasining "Aholining sanitariya-epidemiologik osoyishtaligi to'g'risida"gi Qonuni (Qonunchilik palatasi 2015-yil 15-iyulda qabul qilgan, Senat 2015-yil 6-avgustda ma'qullagan), 35-modda. URL: https://lex.uz/docs/2732587. Manba: xayrullokomilov.uz/kutubxona, material № 201 (asosiy raqami matnda ko'rsatilmagan — tasdiqlanmagan).</w:t>
      </w:r>
    </w:p>
    <w:p>
      <w:pPr>
        <w:pStyle w:val="ListParagraph"/>
        <w:numPr>
          <w:ilvl w:val="0"/>
          <w:numId w:val="4"/>
        </w:numPr>
        <w:spacing w:after="80" w:line="260"/>
      </w:pPr>
      <w:r>
        <w:rPr>
          <w:rFonts w:ascii="Times New Roman" w:cs="Times New Roman" w:eastAsia="Times New Roman" w:hAnsi="Times New Roman"/>
          <w:sz w:val="28"/>
          <w:szCs w:val="28"/>
        </w:rPr>
        <w:t xml:space="preserve">O'zbekiston Respublikasi Sog'liqni saqlash vazirining 2015-yil 23-yanvardagi 37-son buyrug'i, 2-band: har yili I chorakda davolash-profilaktika muassasalarida zoonoz kasalliklar bo'yicha o'quv mashg'ulotlari; 8-band: 2014-yil 20-iyundagi 210-son brutsellyoz buyrug'i kuchini yo'qotgan. Manba: xayrullokomilov.uz/kutubxona, material № 536.</w:t>
      </w:r>
    </w:p>
    <w:sectPr>
      <w:pgSz w:w="11906" w:h="16838" w:orient="portrait"/>
      <w:pgMar w:top="1134" w:right="850" w:bottom="1134" w:left="1701"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decimal"/>
      <w:lvlText w:val="[%1]"/>
      <w:lvlJc w:val="left"/>
      <w:pPr>
        <w:ind w:left="720" w:hanging="720"/>
      </w:pPr>
      <w:rPr>
        <w:rFonts w:ascii="Times New Roman" w:cs="Times New Roman" w:eastAsia="Times New Roman" w:hAnsi="Times New Roman"/>
        <w:sz w:val="28"/>
        <w:szCs w:val="28"/>
      </w:rPr>
    </w:lvl>
  </w:abstractNum>
  <w:abstractNum w:abstractNumId="3" w15:restartNumberingAfterBreak="0">
    <w:multiLevelType w:val="hybridMultilevel"/>
    <w:lvl w:ilvl="0" w:tentative="1">
      <w:start w:val="1"/>
      <w:numFmt w:val="decimal"/>
      <w:lvlText w:val="%1)"/>
      <w:lvlJc w:val="left"/>
      <w:pPr>
        <w:ind w:left="851" w:hanging="425"/>
      </w:pPr>
      <w:rPr>
        <w:rFonts w:ascii="Times New Roman" w:cs="Times New Roman" w:eastAsia="Times New Roman" w:hAnsi="Times New Roman"/>
        <w:sz w:val="28"/>
        <w:szCs w:val="28"/>
      </w:rPr>
    </w:lvl>
  </w:abstractNum>
  <w:abstractNum w:abstractNumId="4" w15:restartNumberingAfterBreak="0">
    <w:multiLevelType w:val="hybridMultilevel"/>
    <w:lvl w:ilvl="0" w:tentative="1">
      <w:start w:val="1"/>
      <w:numFmt w:val="decimal"/>
      <w:lvlText w:val="%1)"/>
      <w:lvlJc w:val="left"/>
      <w:pPr>
        <w:ind w:left="851" w:hanging="425"/>
      </w:pPr>
      <w:rPr>
        <w:rFonts w:ascii="Times New Roman" w:cs="Times New Roman" w:eastAsia="Times New Roman" w:hAnsi="Times New Roman"/>
        <w:sz w:val="28"/>
        <w:szCs w:val="28"/>
      </w:rPr>
    </w:lvl>
  </w:abstractNum>
  <w:num w:numId="1">
    <w:abstractNumId w:val="1"/>
    <w:lvlOverride w:ilvl="0">
      <w:startOverride w:val="1"/>
    </w:lvlOverride>
  </w:num>
  <w:num w:numId="2">
    <w:abstractNumId w:val="3"/>
    <w:lvlOverride w:ilvl="0">
      <w:startOverride w:val="1"/>
    </w:lvlOverride>
  </w:num>
  <w:num w:numId="3">
    <w:abstractNumId w:val="4"/>
    <w:lvlOverride w:ilvl="0">
      <w:startOverride w:val="1"/>
    </w:lvlOverride>
  </w:num>
  <w:num w:numId="4">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8"/>
        <w:szCs w:val="28"/>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80"/>
    </w:pPr>
  </w:style>
  <w:style w:type="paragraph" w:styleId="TOC3">
    <w:name w:val="toc 3"/>
    <w:basedOn w:val="Normal"/>
    <w:next w:val="Normal"/>
    <w:uiPriority w:val="39"/>
    <w:semiHidden/>
    <w:unhideWhenUsed/>
    <w:pPr>
      <w:spacing w:after="100"/>
      <w:ind w:left="560"/>
    </w:pPr>
  </w:style>
  <w:style w:type="paragraph" w:styleId="TOC4">
    <w:name w:val="toc 4"/>
    <w:basedOn w:val="Normal"/>
    <w:next w:val="Normal"/>
    <w:uiPriority w:val="39"/>
    <w:semiHidden/>
    <w:unhideWhenUsed/>
    <w:pPr>
      <w:spacing w:after="100"/>
      <w:ind w:left="840"/>
    </w:pPr>
  </w:style>
  <w:style w:type="paragraph" w:styleId="TOC5">
    <w:name w:val="toc 5"/>
    <w:basedOn w:val="Normal"/>
    <w:next w:val="Normal"/>
    <w:uiPriority w:val="39"/>
    <w:semiHidden/>
    <w:unhideWhenUsed/>
    <w:pPr>
      <w:spacing w:after="100"/>
      <w:ind w:left="1120"/>
    </w:pPr>
  </w:style>
  <w:style w:type="paragraph" w:styleId="TOC6">
    <w:name w:val="toc 6"/>
    <w:basedOn w:val="Normal"/>
    <w:next w:val="Normal"/>
    <w:uiPriority w:val="39"/>
    <w:semiHidden/>
    <w:unhideWhenUsed/>
    <w:pPr>
      <w:spacing w:after="100"/>
      <w:ind w:left="1400"/>
    </w:pPr>
  </w:style>
  <w:style w:type="paragraph" w:styleId="TOC7">
    <w:name w:val="toc 7"/>
    <w:basedOn w:val="Normal"/>
    <w:next w:val="Normal"/>
    <w:uiPriority w:val="39"/>
    <w:semiHidden/>
    <w:unhideWhenUsed/>
    <w:pPr>
      <w:spacing w:after="100"/>
      <w:ind w:left="1680"/>
    </w:pPr>
  </w:style>
  <w:style w:type="paragraph" w:styleId="TOC8">
    <w:name w:val="toc 8"/>
    <w:basedOn w:val="Normal"/>
    <w:next w:val="Normal"/>
    <w:uiPriority w:val="39"/>
    <w:semiHidden/>
    <w:unhideWhenUsed/>
    <w:pPr>
      <w:spacing w:after="100"/>
      <w:ind w:left="1960"/>
    </w:pPr>
  </w:style>
  <w:style w:type="paragraph" w:styleId="TOC9">
    <w:name w:val="toc 9"/>
    <w:basedOn w:val="Normal"/>
    <w:next w:val="Normal"/>
    <w:uiPriority w:val="39"/>
    <w:semiHidden/>
    <w:unhideWhenUsed/>
    <w:pPr>
      <w:spacing w:after="100"/>
      <w:ind w:left="224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 w:type="paragraph" w:styleId="Heading1">
    <w:name w:val="Heading 1"/>
    <w:basedOn w:val="Normal"/>
    <w:next w:val="Normal"/>
    <w:qFormat/>
    <w:pPr>
      <w:spacing w:after="240" w:before="0"/>
      <w:outlineLvl w:val="0"/>
    </w:pPr>
    <w:rPr>
      <w:rFonts w:ascii="Times New Roman" w:cs="Times New Roman" w:eastAsia="Times New Roman" w:hAnsi="Times New Roman"/>
      <w:b/>
      <w:bCs/>
      <w:color w:val="000000"/>
      <w:sz w:val="30"/>
      <w:szCs w:val="30"/>
    </w:rPr>
  </w:style>
  <w:style w:type="paragraph" w:styleId="Heading2">
    <w:name w:val="Heading 2"/>
    <w:basedOn w:val="Normal"/>
    <w:next w:val="Normal"/>
    <w:qFormat/>
    <w:pPr>
      <w:spacing w:after="100" w:before="200"/>
      <w:outlineLvl w:val="1"/>
    </w:pPr>
    <w:rPr>
      <w:rFonts w:ascii="Times New Roman" w:cs="Times New Roman" w:eastAsia="Times New Roman" w:hAnsi="Times New Roman"/>
      <w:b/>
      <w:bCs/>
      <w:color w:val="000000"/>
      <w:sz w:val="28"/>
      <w:szCs w:val="28"/>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095. Brutsellez kasalligining epidemiologiyasi va profilaktikasi</dc:title>
  <dc:creator>Epidemiologiya</dc:creator>
  <cp:lastModifiedBy>Un-named</cp:lastModifiedBy>
  <cp:revision>1</cp:revision>
  <dcterms:created xsi:type="dcterms:W3CDTF">2026-10-30T11:08:08.739Z</dcterms:created>
  <dcterms:modified xsi:type="dcterms:W3CDTF">2026-10-30T11:08:08.739Z</dcterms:modified>
</cp:coreProperties>
</file>

<file path=docProps/custom.xml><?xml version="1.0" encoding="utf-8"?>
<Properties xmlns="http://schemas.openxmlformats.org/officeDocument/2006/custom-properties" xmlns:vt="http://schemas.openxmlformats.org/officeDocument/2006/docPropsVTypes"/>
</file>