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40"/>
        <w:jc w:val="center"/>
      </w:pPr>
      <w:r>
        <w:rPr>
          <w:rFonts w:ascii="Times New Roman" w:cs="Times New Roman" w:eastAsia="Times New Roman" w:hAnsi="Times New Roman"/>
          <w:b/>
          <w:bCs/>
          <w:sz w:val="28"/>
          <w:szCs w:val="28"/>
        </w:rPr>
        <w:t xml:space="preserve">91. Vabo infeksiyasi epidemiologiyasi va profilaktikasi</w:t>
      </w:r>
    </w:p>
    <w:p>
      <w:pPr>
        <w:pStyle w:val="Heading2"/>
        <w:spacing w:after="100" w:before="200"/>
      </w:pPr>
      <w:r>
        <w:rPr>
          <w:rFonts w:ascii="Times New Roman" w:cs="Times New Roman" w:eastAsia="Times New Roman" w:hAnsi="Times New Roman"/>
          <w:b/>
          <w:bCs/>
          <w:sz w:val="28"/>
          <w:szCs w:val="28"/>
        </w:rPr>
        <w:t xml:space="preserve">Kirish</w:t>
      </w:r>
    </w:p>
    <w:p>
      <w:pPr>
        <w:spacing w:after="120" w:line="276"/>
        <w:ind w:firstLine="567"/>
        <w:jc w:val="both"/>
      </w:pPr>
      <w:r>
        <w:rPr>
          <w:rFonts w:ascii="Times New Roman" w:cs="Times New Roman" w:eastAsia="Times New Roman" w:hAnsi="Times New Roman"/>
          <w:sz w:val="28"/>
          <w:szCs w:val="28"/>
        </w:rPr>
        <w:t xml:space="preserve">Vabo – o'tkir yuqumli, karantin kasallik bo'lib, fekal-oral mexanizm bilan suv va oziq-ovqat orqali yuqadi, ich ketish, qusish, suv-elektrolit almashinuvining buzilishi va suvsizlanish bilan kechadi [1]. Qo'zg'atuvchi – Vibrio cholerae; JSST bo'yicha epidemiyalarni faqat O1 va O139 serogruppalari keltirib chiqaradi [2]. Davolanmasa kasallik bir necha soat ichida o'limga olib kelishi mumkin; bunda tez tibbiy yordam hal qiluvchi ahamiyatga ega [2].</w:t>
      </w:r>
    </w:p>
    <w:p>
      <w:pPr>
        <w:pStyle w:val="Heading2"/>
        <w:spacing w:after="100" w:before="200"/>
      </w:pPr>
      <w:r>
        <w:rPr>
          <w:rFonts w:ascii="Times New Roman" w:cs="Times New Roman" w:eastAsia="Times New Roman" w:hAnsi="Times New Roman"/>
          <w:b/>
          <w:bCs/>
          <w:sz w:val="28"/>
          <w:szCs w:val="28"/>
        </w:rPr>
        <w:t xml:space="preserve">Epidemik jarayon bo'g'inlari</w:t>
      </w:r>
    </w:p>
    <w:p>
      <w:pPr>
        <w:pStyle w:val="ListParagraph"/>
        <w:numPr>
          <w:ilvl w:val="0"/>
          <w:numId w:val="2"/>
        </w:numPr>
        <w:spacing w:after="60" w:line="276"/>
        <w:jc w:val="both"/>
      </w:pPr>
      <w:r>
        <w:rPr>
          <w:rFonts w:ascii="Times New Roman" w:cs="Times New Roman" w:eastAsia="Times New Roman" w:hAnsi="Times New Roman"/>
          <w:sz w:val="28"/>
          <w:szCs w:val="28"/>
        </w:rPr>
        <w:t xml:space="preserve">Qo'zg'atuvchi: darslikda klassik V. cholerae, El-Tor biovari va O139 serogruppasi; O1 serogruppasi uch serovarga (Ogava, Inaba, Gikoshima) bo'linadi. Vibrionlar issiqlikka chidamsiz, qurishga, qaynatishga va kislotali muhitga chidamsiz, suvda bir necha kun saqlanadi, nam va ishqoriy muhitda yaxshi saqlanadi [1].</w:t>
      </w:r>
    </w:p>
    <w:p>
      <w:pPr>
        <w:pStyle w:val="ListParagraph"/>
        <w:numPr>
          <w:ilvl w:val="0"/>
          <w:numId w:val="2"/>
        </w:numPr>
        <w:spacing w:after="60" w:line="276"/>
        <w:jc w:val="both"/>
      </w:pPr>
      <w:r>
        <w:rPr>
          <w:rFonts w:ascii="Times New Roman" w:cs="Times New Roman" w:eastAsia="Times New Roman" w:hAnsi="Times New Roman"/>
          <w:sz w:val="28"/>
          <w:szCs w:val="28"/>
        </w:rPr>
        <w:t xml:space="preserve">Manba – antroponoz infeksiya: har xil klinik shakldagi bemorlar va vibrion tashuvchilar. Yaqqol shakldagi bemor kasallikning dastlabki 4–5 kunida kuniga 10–20 litr najas ajratadi, 1 ml najasda 10^6–10^10 virulent vibrion bo'ladi; epidemik o'choqda har bir yaqqol bemorga 20–100 nafar belgisiz bemor to'g'ri keladi [1]. JSST bo'yicha ko'pchilikda belgilar yo'q yoki yengil bo'ladi, ammo ular qo'zg'atuvchini najas bilan 1–10 kun ajratadi; yashirin davr 12 soatdan 5 kungacha [2]. Darslikda tashqi muhit (suv) ham sapronoz kabi manba bo'lishi mumkinligi qayd etilgan [1].</w:t>
      </w:r>
    </w:p>
    <w:p>
      <w:pPr>
        <w:pStyle w:val="ListParagraph"/>
        <w:numPr>
          <w:ilvl w:val="0"/>
          <w:numId w:val="2"/>
        </w:numPr>
        <w:spacing w:after="60" w:line="276"/>
        <w:jc w:val="both"/>
      </w:pPr>
      <w:r>
        <w:rPr>
          <w:rFonts w:ascii="Times New Roman" w:cs="Times New Roman" w:eastAsia="Times New Roman" w:hAnsi="Times New Roman"/>
          <w:sz w:val="28"/>
          <w:szCs w:val="28"/>
        </w:rPr>
        <w:t xml:space="preserve">Yuqish mexanizmi fekal-oral: yo'llari – suv (kichik ochiq suv havzalari alohida ahamiyatga ega), oziq-ovqat (dengiz mahsulotlari xom yoki yaxshi pishirilmagan), ayrim muallifler fikricha, maishiy-kontakt [1]. JSST: xavfsiz suv, sanitariya va gigiyena yetishmovchiligi, mojarolar, aholi ko'chishi, tsiklon, toshqin va qurg'oqchilik xavfni oshiradi [2].</w:t>
      </w:r>
    </w:p>
    <w:p>
      <w:pPr>
        <w:pStyle w:val="ListParagraph"/>
        <w:numPr>
          <w:ilvl w:val="0"/>
          <w:numId w:val="2"/>
        </w:numPr>
        <w:spacing w:after="60" w:line="276"/>
        <w:jc w:val="both"/>
      </w:pPr>
      <w:r>
        <w:rPr>
          <w:rFonts w:ascii="Times New Roman" w:cs="Times New Roman" w:eastAsia="Times New Roman" w:hAnsi="Times New Roman"/>
          <w:sz w:val="28"/>
          <w:szCs w:val="28"/>
        </w:rPr>
        <w:t xml:space="preserve">Moyillik umumiy; kasallikning shakli yuqtirilgan doza va ichki himoya omillariga bog'liq: oshqozon kislotaliligi past, kamqonlik, gastrit va gijja kasalligi bo'lganlarda vabo tez rivojlanadi. Kasallanib o'tganlarda immunitet taxminan 3 yil saqlanadi [1].</w:t>
      </w:r>
    </w:p>
    <w:p>
      <w:pPr>
        <w:pStyle w:val="Heading2"/>
        <w:spacing w:after="100" w:before="200"/>
      </w:pPr>
      <w:r>
        <w:rPr>
          <w:rFonts w:ascii="Times New Roman" w:cs="Times New Roman" w:eastAsia="Times New Roman" w:hAnsi="Times New Roman"/>
          <w:b/>
          <w:bCs/>
          <w:sz w:val="28"/>
          <w:szCs w:val="28"/>
        </w:rPr>
        <w:t xml:space="preserve">Epidemiologik ko'rsatkichlar</w:t>
      </w:r>
    </w:p>
    <w:p>
      <w:pPr>
        <w:pStyle w:val="ListParagraph"/>
        <w:numPr>
          <w:ilvl w:val="0"/>
          <w:numId w:val="3"/>
        </w:numPr>
        <w:spacing w:after="60" w:line="276"/>
        <w:jc w:val="both"/>
      </w:pPr>
      <w:r>
        <w:rPr>
          <w:rFonts w:ascii="Times New Roman" w:cs="Times New Roman" w:eastAsia="Times New Roman" w:hAnsi="Times New Roman"/>
          <w:sz w:val="28"/>
          <w:szCs w:val="28"/>
        </w:rPr>
        <w:t xml:space="preserve">Tarixi: 1817 yildan boshlab 7 pandemiya kuzatilgan, oxirgisi El-Tor biovari keltirib chiqargan, darslikda u 1962 yilda boshlangan deb ko'rsatilgan [1]; JSST esa yettinchi pandemiya 1961 yilda Janubiy Osiyoda boshlanganini yozadi [2] – manbalar orasida bir yillik farq bor.</w:t>
      </w:r>
    </w:p>
    <w:p>
      <w:pPr>
        <w:pStyle w:val="ListParagraph"/>
        <w:numPr>
          <w:ilvl w:val="0"/>
          <w:numId w:val="3"/>
        </w:numPr>
        <w:spacing w:after="60" w:line="276"/>
        <w:jc w:val="both"/>
      </w:pPr>
      <w:r>
        <w:rPr>
          <w:rFonts w:ascii="Times New Roman" w:cs="Times New Roman" w:eastAsia="Times New Roman" w:hAnsi="Times New Roman"/>
          <w:sz w:val="28"/>
          <w:szCs w:val="28"/>
        </w:rPr>
        <w:t xml:space="preserve">Hozirgi holat: JSST tadqiqotchilar bahosiga ko'ra dunyoda yiliga 1,3–4,0 million holat va 21 000–143 000 o'lim sodir bo'ladi; 2025 yilda 47 mamlakat JSST ga 451 499 holat va 7870 o'lim haqida xabar qilgan, o'limlar soni 1999 yildan beri eng yuqori [2]. Darslikdagi 'yiliga 200–500 ming bemor' ko'rsatkichi eskirgan [1].</w:t>
      </w:r>
    </w:p>
    <w:p>
      <w:pPr>
        <w:pStyle w:val="ListParagraph"/>
        <w:numPr>
          <w:ilvl w:val="0"/>
          <w:numId w:val="3"/>
        </w:numPr>
        <w:spacing w:after="60" w:line="276"/>
        <w:jc w:val="both"/>
      </w:pPr>
      <w:r>
        <w:rPr>
          <w:rFonts w:ascii="Times New Roman" w:cs="Times New Roman" w:eastAsia="Times New Roman" w:hAnsi="Times New Roman"/>
          <w:sz w:val="28"/>
          <w:szCs w:val="28"/>
        </w:rPr>
        <w:t xml:space="preserve">O'zbekiston: darslikda mamlakatda vabo bilan og'riganlar oxirgi marta 1960-yillarda qayd etilgani va keyinchalik faqat boshqa mamlakatlardan keltirilgan holatlar bo'lishi mumkinligi aytilgan (matnda yil aniq o'qilmaydi – tasdiqlanmagan) [1]. 2012 yildagi buyruqda ochiq suv havzalarida vabo vibrionlarining doimiy sirkulyatsiyasi kasallik holati mahalliy sifatida qayd etilishiga sabab bo'lishi mumkinligi ta'kidlangan [3].</w:t>
      </w:r>
    </w:p>
    <w:p>
      <w:pPr>
        <w:pStyle w:val="ListParagraph"/>
        <w:numPr>
          <w:ilvl w:val="0"/>
          <w:numId w:val="3"/>
        </w:numPr>
        <w:spacing w:after="60" w:line="276"/>
        <w:jc w:val="both"/>
      </w:pPr>
      <w:r>
        <w:rPr>
          <w:rFonts w:ascii="Times New Roman" w:cs="Times New Roman" w:eastAsia="Times New Roman" w:hAnsi="Times New Roman"/>
          <w:sz w:val="28"/>
          <w:szCs w:val="28"/>
        </w:rPr>
        <w:t xml:space="preserve">Mavsumiylik: endemik hududlarda yil davomida, ammo ko'proq yozgi-kuzgi issiq davrda; kasallik tugatilgan joylarda ham yoz-kuz o'tkir ichak infeksiyalari mavsumida paydo bo'lish ehtimoli bor [1].</w:t>
      </w:r>
    </w:p>
    <w:p>
      <w:pPr>
        <w:pStyle w:val="ListParagraph"/>
        <w:numPr>
          <w:ilvl w:val="0"/>
          <w:numId w:val="3"/>
        </w:numPr>
        <w:spacing w:after="60" w:line="276"/>
        <w:jc w:val="both"/>
      </w:pPr>
      <w:r>
        <w:rPr>
          <w:rFonts w:ascii="Times New Roman" w:cs="Times New Roman" w:eastAsia="Times New Roman" w:hAnsi="Times New Roman"/>
          <w:sz w:val="28"/>
          <w:szCs w:val="28"/>
        </w:rPr>
        <w:t xml:space="preserve">Xavf guruhlari: yosh bolalar va qariyalar; endemik hududlarda yashovchilar, haj safariga borganlar, kanalizatsiya va suv tozalash inshootlari hamda bakteriologik laboratoriyalar xodimlari, suv ta'minoti yomon joylarda yashovchilar [1].</w:t>
      </w:r>
    </w:p>
    <w:p>
      <w:pPr>
        <w:pStyle w:val="Heading2"/>
        <w:spacing w:after="100" w:before="200"/>
      </w:pPr>
      <w:r>
        <w:rPr>
          <w:rFonts w:ascii="Times New Roman" w:cs="Times New Roman" w:eastAsia="Times New Roman" w:hAnsi="Times New Roman"/>
          <w:b/>
          <w:bCs/>
          <w:sz w:val="28"/>
          <w:szCs w:val="28"/>
        </w:rPr>
        <w:t xml:space="preserve">Epidemiologik nazorat va tashxis</w:t>
      </w:r>
    </w:p>
    <w:p>
      <w:pPr>
        <w:pStyle w:val="ListParagraph"/>
        <w:numPr>
          <w:ilvl w:val="0"/>
          <w:numId w:val="4"/>
        </w:numPr>
        <w:spacing w:after="60" w:line="276"/>
        <w:jc w:val="both"/>
      </w:pPr>
      <w:r>
        <w:rPr>
          <w:rFonts w:ascii="Times New Roman" w:cs="Times New Roman" w:eastAsia="Times New Roman" w:hAnsi="Times New Roman"/>
          <w:sz w:val="28"/>
          <w:szCs w:val="28"/>
        </w:rPr>
        <w:t xml:space="preserve">Nazorat – chetdan keltirilgan va mahalliy holatlarni erta aniqlash, ochiq suv havzalari, basseyn, oqova suvlar tushadigan suvlarni (ayniqsa yozgi-kuzgi mavsumda) vibrionlarga muntazam tekshirish, ajratilgan O1 va O139 shtammlarning toksigenligi va antibiotiklarga chidamliligini o'rganish [1].</w:t>
      </w:r>
    </w:p>
    <w:p>
      <w:pPr>
        <w:pStyle w:val="ListParagraph"/>
        <w:numPr>
          <w:ilvl w:val="0"/>
          <w:numId w:val="4"/>
        </w:numPr>
        <w:spacing w:after="60" w:line="276"/>
        <w:jc w:val="both"/>
      </w:pPr>
      <w:r>
        <w:rPr>
          <w:rFonts w:ascii="Times New Roman" w:cs="Times New Roman" w:eastAsia="Times New Roman" w:hAnsi="Times New Roman"/>
          <w:sz w:val="28"/>
          <w:szCs w:val="28"/>
        </w:rPr>
        <w:t xml:space="preserve">Laboratoriya: bakteriologiya laboratoriyalarida ichak infeksiyasi bilan og'riganlar va tashqi muhit namunalari tekshiriladi; madaniyat tozaligi Gram usulida, harakatchanligi va O1 zardobi bilan slayd-agglutinatsiya orqali baholanadi, musbat natijada hududiy DSENM ga darhol xabar beriladi [4]. JSST bo'yicha tezkor testlar erta aniqlash uchun foydali, tasdiq esa madaniyat, seroagglutinatsiya yoki PZR bilan amalga oshiriladi [2].</w:t>
      </w:r>
    </w:p>
    <w:p>
      <w:pPr>
        <w:pStyle w:val="ListParagraph"/>
        <w:numPr>
          <w:ilvl w:val="0"/>
          <w:numId w:val="4"/>
        </w:numPr>
        <w:spacing w:after="60" w:line="276"/>
        <w:jc w:val="both"/>
      </w:pPr>
      <w:r>
        <w:rPr>
          <w:rFonts w:ascii="Times New Roman" w:cs="Times New Roman" w:eastAsia="Times New Roman" w:hAnsi="Times New Roman"/>
          <w:sz w:val="28"/>
          <w:szCs w:val="28"/>
        </w:rPr>
        <w:t xml:space="preserve">Vabo, o'lat, sariq isitma kabi karantin infeksiyalariga gumon qilingan holatlar haqida navbatdan tashqari xabarnoma kechiktirilmasdan beriladi [3].</w:t>
      </w:r>
    </w:p>
    <w:p>
      <w:pPr>
        <w:pStyle w:val="Heading2"/>
        <w:spacing w:after="100" w:before="200"/>
      </w:pPr>
      <w:r>
        <w:rPr>
          <w:rFonts w:ascii="Times New Roman" w:cs="Times New Roman" w:eastAsia="Times New Roman" w:hAnsi="Times New Roman"/>
          <w:b/>
          <w:bCs/>
          <w:sz w:val="28"/>
          <w:szCs w:val="28"/>
        </w:rPr>
        <w:t xml:space="preserve">Profilaktika va epidemiyaga qarshi tadbirlar</w:t>
      </w:r>
    </w:p>
    <w:p>
      <w:pPr>
        <w:pStyle w:val="ListParagraph"/>
        <w:numPr>
          <w:ilvl w:val="0"/>
          <w:numId w:val="5"/>
        </w:numPr>
        <w:spacing w:after="60" w:line="276"/>
        <w:jc w:val="both"/>
      </w:pPr>
      <w:r>
        <w:rPr>
          <w:rFonts w:ascii="Times New Roman" w:cs="Times New Roman" w:eastAsia="Times New Roman" w:hAnsi="Times New Roman"/>
          <w:sz w:val="28"/>
          <w:szCs w:val="28"/>
        </w:rPr>
        <w:t xml:space="preserve">Umumiy profilaktika: aholining ijtimoiy-iqtisodiy ahvoli va sanitariya-gigiyena sharoitini yaxshilash, toza ichimlik suvi bilan ta'minlash, chiqindi suvlarni zararsizlantirish, sanitariya madaniyatini oshirish; JSST ham xavfsiz suv, sanitariya va gigiyena (WASH) uzoq muddatli yechim ekanini ta'kidlaydi [1][2].</w:t>
      </w:r>
    </w:p>
    <w:p>
      <w:pPr>
        <w:pStyle w:val="ListParagraph"/>
        <w:numPr>
          <w:ilvl w:val="0"/>
          <w:numId w:val="5"/>
        </w:numPr>
        <w:spacing w:after="60" w:line="276"/>
        <w:jc w:val="both"/>
      </w:pPr>
      <w:r>
        <w:rPr>
          <w:rFonts w:ascii="Times New Roman" w:cs="Times New Roman" w:eastAsia="Times New Roman" w:hAnsi="Times New Roman"/>
          <w:sz w:val="28"/>
          <w:szCs w:val="28"/>
        </w:rPr>
        <w:t xml:space="preserve">Kasallikning chetdan kirib kelishini oldini olish: davlat chegarasida sanitariya-nazorat punktlari, yuk va oziq-ovqatni tekshirish, yo'lovchilarni so'rab-surishtirish, belgi aniqlansa izolyatorga ajratish [1].</w:t>
      </w:r>
    </w:p>
    <w:p>
      <w:pPr>
        <w:pStyle w:val="ListParagraph"/>
        <w:numPr>
          <w:ilvl w:val="0"/>
          <w:numId w:val="5"/>
        </w:numPr>
        <w:spacing w:after="60" w:line="276"/>
        <w:jc w:val="both"/>
      </w:pPr>
      <w:r>
        <w:rPr>
          <w:rFonts w:ascii="Times New Roman" w:cs="Times New Roman" w:eastAsia="Times New Roman" w:hAnsi="Times New Roman"/>
          <w:sz w:val="28"/>
          <w:szCs w:val="28"/>
        </w:rPr>
        <w:t xml:space="preserve">Emlash: darslikda vabo bo'yicha maxsus profilaktika samarasiz deb hisoblanib, odatda qo'llanilmaydi [1]; JSST esa 3 ta oldindan sertifikatlangan og'iz orqali vabo vaksinasini (Dukoral, Euvichol-Plus, Euvichol-S) tavsiya qiladi: to'liq himoya uchun kattalarga 2 doza, himoya kamida 3 yil; 2022 yil oktyabrdan vaksina taqchilligi sababli 1 dozali rejim qo'llanadi [2]. Darslik ma'lumoti eskirgan; O'zbekistonda emlash amaliyoti bu manbalarda ko'rsatilmagan (tasdiqlanmagan).</w:t>
      </w:r>
    </w:p>
    <w:p>
      <w:pPr>
        <w:pStyle w:val="ListParagraph"/>
        <w:numPr>
          <w:ilvl w:val="0"/>
          <w:numId w:val="5"/>
        </w:numPr>
        <w:spacing w:after="60" w:line="276"/>
        <w:jc w:val="both"/>
      </w:pPr>
      <w:r>
        <w:rPr>
          <w:rFonts w:ascii="Times New Roman" w:cs="Times New Roman" w:eastAsia="Times New Roman" w:hAnsi="Times New Roman"/>
          <w:sz w:val="28"/>
          <w:szCs w:val="28"/>
        </w:rPr>
        <w:t xml:space="preserve">O'choqda: birinchi bemor yoki vibrion tashuvchi aniqlanishi bilan o'choq e'lon qilinadi, chegaralari belgilanadi, tadbirlar favqulodda epidemiyaga qarshi komissiyaning tezkor rejasi asosida o'tkaziladi; zarur bo'lsa obzervatsiya yoki karantin joriy etiladi [1][3].</w:t>
      </w:r>
    </w:p>
    <w:p>
      <w:pPr>
        <w:pStyle w:val="ListParagraph"/>
        <w:numPr>
          <w:ilvl w:val="0"/>
          <w:numId w:val="5"/>
        </w:numPr>
        <w:spacing w:after="60" w:line="276"/>
        <w:jc w:val="both"/>
      </w:pPr>
      <w:r>
        <w:rPr>
          <w:rFonts w:ascii="Times New Roman" w:cs="Times New Roman" w:eastAsia="Times New Roman" w:hAnsi="Times New Roman"/>
          <w:sz w:val="28"/>
          <w:szCs w:val="28"/>
        </w:rPr>
        <w:t xml:space="preserve">Bemorlar va gumon qilinganlar gospitalizatsiya qilinadi, muloqotda bo'lganlar ajratilib kuzatiladi va bakteriologik tekshiriladi; yakuniy dezinfeksiya majburiy [3][5].</w:t>
      </w:r>
    </w:p>
    <w:p>
      <w:pPr>
        <w:pStyle w:val="ListParagraph"/>
        <w:numPr>
          <w:ilvl w:val="0"/>
          <w:numId w:val="5"/>
        </w:numPr>
        <w:spacing w:after="60" w:line="276"/>
        <w:jc w:val="both"/>
      </w:pPr>
      <w:r>
        <w:rPr>
          <w:rFonts w:ascii="Times New Roman" w:cs="Times New Roman" w:eastAsia="Times New Roman" w:hAnsi="Times New Roman"/>
          <w:sz w:val="28"/>
          <w:szCs w:val="28"/>
        </w:rPr>
        <w:t xml:space="preserve">Davolash: regidratatsiya asos. JSST yengil va o'rtacha shakllarda og'iz orqali regidratatsiya eritmasini, og'ir shakllarda vena ichiga suyuqlik, eritma va antibiotiklarni tavsiya qiladi; kimyoviy profilaktika (ommaviy antibiotik berish) tavsiya etilmaydi, chunki isbotlangan samarasi yo'q va chidamlilikka sabab bo'lishi mumkin [2].</w:t>
      </w:r>
    </w:p>
    <w:p>
      <w:pPr>
        <w:pStyle w:val="ListParagraph"/>
        <w:numPr>
          <w:ilvl w:val="0"/>
          <w:numId w:val="5"/>
        </w:numPr>
        <w:spacing w:after="60" w:line="276"/>
        <w:jc w:val="both"/>
      </w:pPr>
      <w:r>
        <w:rPr>
          <w:rFonts w:ascii="Times New Roman" w:cs="Times New Roman" w:eastAsia="Times New Roman" w:hAnsi="Times New Roman"/>
          <w:sz w:val="28"/>
          <w:szCs w:val="28"/>
        </w:rPr>
        <w:t xml:space="preserve">Aholi bilan ishlash: sovun bilan qo'l yuvish, oziq-ovqat va suvni xavfsiz tayyorlash va saqlash, najasni xavfsiz yo'q qilish [2].</w:t>
      </w:r>
    </w:p>
    <w:p>
      <w:pPr>
        <w:pStyle w:val="Heading2"/>
        <w:spacing w:after="100" w:before="200"/>
      </w:pPr>
      <w:r>
        <w:rPr>
          <w:rFonts w:ascii="Times New Roman" w:cs="Times New Roman" w:eastAsia="Times New Roman" w:hAnsi="Times New Roman"/>
          <w:b/>
          <w:bCs/>
          <w:sz w:val="28"/>
          <w:szCs w:val="28"/>
        </w:rPr>
        <w:t xml:space="preserve">Xulosa</w:t>
      </w:r>
    </w:p>
    <w:p>
      <w:pPr>
        <w:spacing w:after="120" w:line="276"/>
        <w:ind w:firstLine="567"/>
        <w:jc w:val="both"/>
      </w:pPr>
      <w:r>
        <w:rPr>
          <w:rFonts w:ascii="Times New Roman" w:cs="Times New Roman" w:eastAsia="Times New Roman" w:hAnsi="Times New Roman"/>
          <w:sz w:val="28"/>
          <w:szCs w:val="28"/>
        </w:rPr>
        <w:t xml:space="preserve">Vabo antroponoz, suv orqali tarqaladigan karantin infeksiya bo'lib, O'zbekiston uchun asosiy xavf chetdan kirib kelish va ochiq suv havzalarida vibrionlar sirkulyatsiyasi bilan bog'liq. Profilaktikaning asosi – xavfsiz suv va sanitariya, tashqi muhit va chegarada nazorat, erta laborator aniqlash va tezkor epidemiyaga qarshi tadbirlar. Darslikdagi ba'zi ma'lumotlar (pandemiya yili, yillik holatlar soni, emlash) JSST ning yangi ma'lumotlaridan farq qiladi; amalda JSST va amaldagi milliy buyruqlarga tayanish kerak.</w:t>
      </w:r>
    </w:p>
    <w:p>
      <w:pPr>
        <w:pStyle w:val="Heading2"/>
        <w:spacing w:after="100" w:before="280"/>
      </w:pPr>
      <w:r>
        <w:rPr>
          <w:rFonts w:ascii="Times New Roman" w:cs="Times New Roman" w:eastAsia="Times New Roman" w:hAnsi="Times New Roman"/>
          <w:b/>
          <w:bCs/>
          <w:sz w:val="28"/>
          <w:szCs w:val="28"/>
        </w:rPr>
        <w:t xml:space="preserve">Foydalanilgan adabiyotlar</w:t>
      </w:r>
    </w:p>
    <w:p>
      <w:pPr>
        <w:pStyle w:val="ListParagraph"/>
        <w:numPr>
          <w:ilvl w:val="0"/>
          <w:numId w:val="6"/>
        </w:numPr>
        <w:spacing w:after="80" w:line="260"/>
      </w:pPr>
      <w:r>
        <w:rPr>
          <w:rFonts w:ascii="Times New Roman" w:cs="Times New Roman" w:eastAsia="Times New Roman" w:hAnsi="Times New Roman"/>
          <w:sz w:val="28"/>
          <w:szCs w:val="28"/>
        </w:rPr>
        <w:t xml:space="preserve">Mirtazayev O.M., Zueva L.P., Matnazarova G.S. Epidemiologiya (darslik). Toshkent, 2016. 16.4-bo'lim «Vabo» (187–191-betlar). Manba: xayrullokomilov.uz/kutubxona, material № 2356 (matn kirill yozuvida).</w:t>
      </w:r>
    </w:p>
    <w:p>
      <w:pPr>
        <w:pStyle w:val="ListParagraph"/>
        <w:numPr>
          <w:ilvl w:val="0"/>
          <w:numId w:val="6"/>
        </w:numPr>
        <w:spacing w:after="80" w:line="260"/>
      </w:pPr>
      <w:r>
        <w:rPr>
          <w:rFonts w:ascii="Times New Roman" w:cs="Times New Roman" w:eastAsia="Times New Roman" w:hAnsi="Times New Roman"/>
          <w:sz w:val="28"/>
          <w:szCs w:val="28"/>
        </w:rPr>
        <w:t xml:space="preserve">World Health Organization. Cholera (fact sheet). URL: https://www.who.int/news-room/fact-sheets/detail/cholera (kirilgan sana: 30.10.2026).</w:t>
      </w:r>
    </w:p>
    <w:p>
      <w:pPr>
        <w:pStyle w:val="ListParagraph"/>
        <w:numPr>
          <w:ilvl w:val="0"/>
          <w:numId w:val="6"/>
        </w:numPr>
        <w:spacing w:after="80" w:line="260"/>
      </w:pPr>
      <w:r>
        <w:rPr>
          <w:rFonts w:ascii="Times New Roman" w:cs="Times New Roman" w:eastAsia="Times New Roman" w:hAnsi="Times New Roman"/>
          <w:sz w:val="28"/>
          <w:szCs w:val="28"/>
        </w:rPr>
        <w:t xml:space="preserve">O'zbekiston Respublikasi Sog'liqni saqlash vazirligining 25.01.2012-yildagi 25-sonli buyrug'i «O'zbekiston Respublikasida vabo kasalligi ustidan epidemiologik nazoratni yanada takomillashtirish to'g'risida» va 1-ilova (yo'riqnoma). Manba: xayrullokomilov.uz/kutubxona, material № 395 (nusxada sana «25.01» va «05.01» ko'rinishida ikki xil yozilgan; ilova matni rus tilida).</w:t>
      </w:r>
    </w:p>
    <w:p>
      <w:pPr>
        <w:pStyle w:val="ListParagraph"/>
        <w:numPr>
          <w:ilvl w:val="0"/>
          <w:numId w:val="6"/>
        </w:numPr>
        <w:spacing w:after="80" w:line="260"/>
      </w:pPr>
      <w:r>
        <w:rPr>
          <w:rFonts w:ascii="Times New Roman" w:cs="Times New Roman" w:eastAsia="Times New Roman" w:hAnsi="Times New Roman"/>
          <w:sz w:val="28"/>
          <w:szCs w:val="28"/>
        </w:rPr>
        <w:t xml:space="preserve">Vabo kasalligining laboratoriya tashxisi bo'yicha uslubiy ko'rsatma (Sog'liqni saqlash vazirligi buyrug'iga 10-ilova, 2015; sana va raqam nusxada to'ldirilmagan). Manba: xayrullokomilov.uz/kutubxona, material № 1896.</w:t>
      </w:r>
    </w:p>
    <w:p>
      <w:pPr>
        <w:pStyle w:val="ListParagraph"/>
        <w:numPr>
          <w:ilvl w:val="0"/>
          <w:numId w:val="6"/>
        </w:numPr>
        <w:spacing w:after="80" w:line="260"/>
      </w:pPr>
      <w:r>
        <w:rPr>
          <w:rFonts w:ascii="Times New Roman" w:cs="Times New Roman" w:eastAsia="Times New Roman" w:hAnsi="Times New Roman"/>
          <w:sz w:val="28"/>
          <w:szCs w:val="28"/>
        </w:rPr>
        <w:t xml:space="preserve">SanQvaN № 0090-25 (SEO va JS qo'mitasi qarori, Toshkent, 05.05.2025, № 8; Adliya vazirligida 03.06.2025-yilda 350-raqam bilan ro'yxatga olingan), 55–56-bandlar. URL: https://lex.uz/en/docs/-7556121. Manba: xayrullokomilov.uz/kutubxona, material № 660.</w:t>
      </w:r>
    </w:p>
    <w:sectPr>
      <w:pgSz w:w="11906" w:h="16838" w:orient="portrait"/>
      <w:pgMar w:top="1134" w:right="850" w:bottom="1134"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720"/>
      </w:pPr>
      <w:rPr>
        <w:rFonts w:ascii="Times New Roman" w:cs="Times New Roman" w:eastAsia="Times New Roman" w:hAnsi="Times New Roman"/>
        <w:sz w:val="28"/>
        <w:szCs w:val="28"/>
      </w:rPr>
    </w:lvl>
  </w:abstractNum>
  <w:abstractNum w:abstractNumId="3"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4"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5"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6"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80"/>
    </w:pPr>
  </w:style>
  <w:style w:type="paragraph" w:styleId="TOC3">
    <w:name w:val="toc 3"/>
    <w:basedOn w:val="Normal"/>
    <w:next w:val="Normal"/>
    <w:uiPriority w:val="39"/>
    <w:semiHidden/>
    <w:unhideWhenUsed/>
    <w:pPr>
      <w:spacing w:after="100"/>
      <w:ind w:left="560"/>
    </w:pPr>
  </w:style>
  <w:style w:type="paragraph" w:styleId="TOC4">
    <w:name w:val="toc 4"/>
    <w:basedOn w:val="Normal"/>
    <w:next w:val="Normal"/>
    <w:uiPriority w:val="39"/>
    <w:semiHidden/>
    <w:unhideWhenUsed/>
    <w:pPr>
      <w:spacing w:after="100"/>
      <w:ind w:left="840"/>
    </w:pPr>
  </w:style>
  <w:style w:type="paragraph" w:styleId="TOC5">
    <w:name w:val="toc 5"/>
    <w:basedOn w:val="Normal"/>
    <w:next w:val="Normal"/>
    <w:uiPriority w:val="39"/>
    <w:semiHidden/>
    <w:unhideWhenUsed/>
    <w:pPr>
      <w:spacing w:after="100"/>
      <w:ind w:left="1120"/>
    </w:pPr>
  </w:style>
  <w:style w:type="paragraph" w:styleId="TOC6">
    <w:name w:val="toc 6"/>
    <w:basedOn w:val="Normal"/>
    <w:next w:val="Normal"/>
    <w:uiPriority w:val="39"/>
    <w:semiHidden/>
    <w:unhideWhenUsed/>
    <w:pPr>
      <w:spacing w:after="100"/>
      <w:ind w:left="1400"/>
    </w:pPr>
  </w:style>
  <w:style w:type="paragraph" w:styleId="TOC7">
    <w:name w:val="toc 7"/>
    <w:basedOn w:val="Normal"/>
    <w:next w:val="Normal"/>
    <w:uiPriority w:val="39"/>
    <w:semiHidden/>
    <w:unhideWhenUsed/>
    <w:pPr>
      <w:spacing w:after="100"/>
      <w:ind w:left="1680"/>
    </w:pPr>
  </w:style>
  <w:style w:type="paragraph" w:styleId="TOC8">
    <w:name w:val="toc 8"/>
    <w:basedOn w:val="Normal"/>
    <w:next w:val="Normal"/>
    <w:uiPriority w:val="39"/>
    <w:semiHidden/>
    <w:unhideWhenUsed/>
    <w:pPr>
      <w:spacing w:after="100"/>
      <w:ind w:left="1960"/>
    </w:pPr>
  </w:style>
  <w:style w:type="paragraph" w:styleId="TOC9">
    <w:name w:val="toc 9"/>
    <w:basedOn w:val="Normal"/>
    <w:next w:val="Normal"/>
    <w:uiPriority w:val="39"/>
    <w:semiHidden/>
    <w:unhideWhenUsed/>
    <w:pPr>
      <w:spacing w:after="100"/>
      <w:ind w:left="224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40" w:before="0"/>
      <w:outlineLvl w:val="0"/>
    </w:pPr>
    <w:rPr>
      <w:rFonts w:ascii="Times New Roman" w:cs="Times New Roman" w:eastAsia="Times New Roman" w:hAnsi="Times New Roman"/>
      <w:b/>
      <w:bCs/>
      <w:color w:val="000000"/>
      <w:sz w:val="30"/>
      <w:szCs w:val="30"/>
    </w:rPr>
  </w:style>
  <w:style w:type="paragraph" w:styleId="Heading2">
    <w:name w:val="Heading 2"/>
    <w:basedOn w:val="Normal"/>
    <w:next w:val="Normal"/>
    <w:qFormat/>
    <w:pPr>
      <w:spacing w:after="100" w:before="200"/>
      <w:outlineLvl w:val="1"/>
    </w:pPr>
    <w:rPr>
      <w:rFonts w:ascii="Times New Roman" w:cs="Times New Roman" w:eastAsia="Times New Roman" w:hAnsi="Times New Roman"/>
      <w:b/>
      <w:bCs/>
      <w:color w:val="000000"/>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91. Vabo infeksiyasi epidemiologiyasi va profilaktikasi</dc:title>
  <dc:creator>Epidemiologiya</dc:creator>
  <cp:lastModifiedBy>Un-named</cp:lastModifiedBy>
  <cp:revision>1</cp:revision>
  <dcterms:created xsi:type="dcterms:W3CDTF">2026-10-30T12:09:44.615Z</dcterms:created>
  <dcterms:modified xsi:type="dcterms:W3CDTF">2026-10-30T12:09:44.615Z</dcterms:modified>
</cp:coreProperties>
</file>

<file path=docProps/custom.xml><?xml version="1.0" encoding="utf-8"?>
<Properties xmlns="http://schemas.openxmlformats.org/officeDocument/2006/custom-properties" xmlns:vt="http://schemas.openxmlformats.org/officeDocument/2006/docPropsVTypes"/>
</file>