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40"/>
        <w:jc w:val="center"/>
      </w:pPr>
      <w:r>
        <w:rPr>
          <w:rFonts w:ascii="Times New Roman" w:cs="Times New Roman" w:eastAsia="Times New Roman" w:hAnsi="Times New Roman"/>
          <w:b/>
          <w:bCs/>
          <w:sz w:val="28"/>
          <w:szCs w:val="28"/>
        </w:rPr>
        <w:t xml:space="preserve">146. OIV infeksiyasi epidemik o'chog'ida epidemiologik surishtiruv</w:t>
      </w:r>
    </w:p>
    <w:p>
      <w:pPr>
        <w:pStyle w:val="Heading2"/>
        <w:spacing w:after="100" w:before="200"/>
      </w:pPr>
      <w:r>
        <w:rPr>
          <w:rFonts w:ascii="Times New Roman" w:cs="Times New Roman" w:eastAsia="Times New Roman" w:hAnsi="Times New Roman"/>
          <w:b/>
          <w:bCs/>
          <w:sz w:val="28"/>
          <w:szCs w:val="28"/>
        </w:rPr>
        <w:t xml:space="preserve">Kirish</w:t>
      </w:r>
    </w:p>
    <w:p>
      <w:pPr>
        <w:spacing w:after="120" w:line="276"/>
        <w:ind w:firstLine="567"/>
        <w:jc w:val="both"/>
      </w:pPr>
      <w:r>
        <w:rPr>
          <w:rFonts w:ascii="Times New Roman" w:cs="Times New Roman" w:eastAsia="Times New Roman" w:hAnsi="Times New Roman"/>
          <w:sz w:val="28"/>
          <w:szCs w:val="28"/>
        </w:rPr>
        <w:t xml:space="preserve">OIV infeksiyasida epidemik o'choq – OIV aniqlangan shaxs, uning kontaktdagilari, davolangan tibbiy muassasalar va zararlanishning mumkin bo'lgan sharoitlari birgalikda. Epidemiologik surishtiruvning asosiy maqsadi – kasallik manbai va yuqish yo'lini (jinsiy, tibbiy va notibbiy parenteral, kontaktdagilar) aniqlash yoki taxmin qilish, epidemik vaziyatni baholash va tarqalishning oldini olishga qaratilgan tadbirlarni belgilashdir [1]. Tartib Sog'liqni saqlash vazirining 2021-yil 6-sentabrdagi 219-son buyrug'iga 3-ilovada belgilangan va qonundagi talablarga asoslanadi [1][2].</w:t>
      </w:r>
    </w:p>
    <w:p>
      <w:pPr>
        <w:pStyle w:val="Heading2"/>
        <w:spacing w:after="100" w:before="200"/>
      </w:pPr>
      <w:r>
        <w:rPr>
          <w:rFonts w:ascii="Times New Roman" w:cs="Times New Roman" w:eastAsia="Times New Roman" w:hAnsi="Times New Roman"/>
          <w:b/>
          <w:bCs/>
          <w:sz w:val="28"/>
          <w:szCs w:val="28"/>
        </w:rPr>
        <w:t xml:space="preserve">Surishtiruvni boshlash va tashkil etish</w:t>
      </w:r>
    </w:p>
    <w:p>
      <w:pPr>
        <w:pStyle w:val="ListParagraph"/>
        <w:numPr>
          <w:ilvl w:val="0"/>
          <w:numId w:val="2"/>
        </w:numPr>
        <w:spacing w:after="60" w:line="276"/>
        <w:jc w:val="both"/>
      </w:pPr>
      <w:r>
        <w:rPr>
          <w:rFonts w:ascii="Times New Roman" w:cs="Times New Roman" w:eastAsia="Times New Roman" w:hAnsi="Times New Roman"/>
          <w:sz w:val="28"/>
          <w:szCs w:val="28"/>
        </w:rPr>
        <w:t xml:space="preserve">Surishtiruv shaxsda OIV mavjudligi haqida xabarnoma (1-shakl) olingandan keyin boshlanadi; uni OITSga qarshi kurash markazlari epidemiologlari olib boradi [1].</w:t>
      </w:r>
    </w:p>
    <w:p>
      <w:pPr>
        <w:pStyle w:val="ListParagraph"/>
        <w:numPr>
          <w:ilvl w:val="0"/>
          <w:numId w:val="2"/>
        </w:numPr>
        <w:spacing w:after="60" w:line="276"/>
        <w:jc w:val="both"/>
      </w:pPr>
      <w:r>
        <w:rPr>
          <w:rFonts w:ascii="Times New Roman" w:cs="Times New Roman" w:eastAsia="Times New Roman" w:hAnsi="Times New Roman"/>
          <w:sz w:val="28"/>
          <w:szCs w:val="28"/>
        </w:rPr>
        <w:t xml:space="preserve">Hujjatlar: «OIV infeksiyasi bo'yicha epidemiologik surishtiruv kartasi» (2-shakl) to'ldirilib, mutaxassis imzosi bilan tasdiqlanadi; 18 yoshgacha bolalar uchun qo'shimcha ravishda ota-onasi bilan suhbat va tibbiy hujjatlarni o'rganish varag'i (3-shakl) to'ldiriladi [1]. Karta pasport qismi, ijtimoiy-demografik ma'lumotlar, xavf omillari (in'ektsion giyohvand moddalar, jinsiy xulq-atvor, migratsiya), kontaktdagilar va tibbiy muassasalardagi kontaktlar, xulosa (taxminiy yuqish yo'li) bo'limlaridan iborat [1].</w:t>
      </w:r>
    </w:p>
    <w:p>
      <w:pPr>
        <w:pStyle w:val="ListParagraph"/>
        <w:numPr>
          <w:ilvl w:val="0"/>
          <w:numId w:val="2"/>
        </w:numPr>
        <w:spacing w:after="60" w:line="276"/>
        <w:jc w:val="both"/>
      </w:pPr>
      <w:r>
        <w:rPr>
          <w:rFonts w:ascii="Times New Roman" w:cs="Times New Roman" w:eastAsia="Times New Roman" w:hAnsi="Times New Roman"/>
          <w:sz w:val="28"/>
          <w:szCs w:val="28"/>
        </w:rPr>
        <w:t xml:space="preserve">Xulosa: epidemiologik surishtiruv asosida bosh shifokor o'rinbosari, epidemiologik monitoring bo'limi mudiri, epidemiolog, infeksionist (pediatr) va vrach-laborant ishtirokida (konsilium) yuqish yo'li bo'yicha bayonnoma tuziladi; 18 yoshgacha bola bo'yicha xulosa axborot shaklida umumlashtirilib, har oyning 10-sanasigacha Respublika OITSga qarshi kurash markaziga topshiriladi [1].</w:t>
      </w:r>
    </w:p>
    <w:p>
      <w:pPr>
        <w:pStyle w:val="ListParagraph"/>
        <w:numPr>
          <w:ilvl w:val="0"/>
          <w:numId w:val="2"/>
        </w:numPr>
        <w:spacing w:after="60" w:line="276"/>
        <w:jc w:val="both"/>
      </w:pPr>
      <w:r>
        <w:rPr>
          <w:rFonts w:ascii="Times New Roman" w:cs="Times New Roman" w:eastAsia="Times New Roman" w:hAnsi="Times New Roman"/>
          <w:sz w:val="28"/>
          <w:szCs w:val="28"/>
        </w:rPr>
        <w:t xml:space="preserve">Muddat: surishtiruv tezkor o'tkaziladi; xabarnomadan boshlab bir oydan ortiq cho'zilsa, epidemiolog bosh shifokorga sabablarini ko'rsatgan holda bildirishnoma kiritib ruxsat so'raydi, cho'zilish sabablari har oy tahlil qilinadi [1].</w:t>
      </w:r>
    </w:p>
    <w:p>
      <w:pPr>
        <w:pStyle w:val="ListParagraph"/>
        <w:numPr>
          <w:ilvl w:val="0"/>
          <w:numId w:val="2"/>
        </w:numPr>
        <w:spacing w:after="60" w:line="276"/>
        <w:jc w:val="both"/>
      </w:pPr>
      <w:r>
        <w:rPr>
          <w:rFonts w:ascii="Times New Roman" w:cs="Times New Roman" w:eastAsia="Times New Roman" w:hAnsi="Times New Roman"/>
          <w:sz w:val="28"/>
          <w:szCs w:val="28"/>
        </w:rPr>
        <w:t xml:space="preserve">Hududlararo ish: agar zararlanish bilan bog'liq holatlar (davolanish, jinsiy aloqa va b.) boshqa hududda bo'lsa, markaz tegishli hududning markaziga rasmiy murojaat qiladi, natija so'rov yuborgan markazga qaytariladi [1].</w:t>
      </w:r>
    </w:p>
    <w:p>
      <w:pPr>
        <w:pStyle w:val="Heading2"/>
        <w:spacing w:after="100" w:before="200"/>
      </w:pPr>
      <w:r>
        <w:rPr>
          <w:rFonts w:ascii="Times New Roman" w:cs="Times New Roman" w:eastAsia="Times New Roman" w:hAnsi="Times New Roman"/>
          <w:b/>
          <w:bCs/>
          <w:sz w:val="28"/>
          <w:szCs w:val="28"/>
        </w:rPr>
        <w:t xml:space="preserve">Surishtiruv jarayoni: suhbat va maxfiylik</w:t>
      </w:r>
    </w:p>
    <w:p>
      <w:pPr>
        <w:spacing w:after="120" w:line="276"/>
        <w:ind w:firstLine="567"/>
        <w:jc w:val="both"/>
      </w:pPr>
      <w:r>
        <w:rPr>
          <w:rFonts w:ascii="Times New Roman" w:cs="Times New Roman" w:eastAsia="Times New Roman" w:hAnsi="Times New Roman"/>
          <w:sz w:val="28"/>
          <w:szCs w:val="28"/>
        </w:rPr>
        <w:t xml:space="preserve">Epidemiolog OIV bilan yashovchi shaxs bilan test keyingi maslahat o'tkazilgan yoki o'tkazilmaganidan qat'i nazar suhbatni qaytadan o'tkazadi; shaxs surishtiruvdan bosh tortsa, unga qonuniy huquq va majburiyatlari, ma'lumotlar sir saqlanishi, dispanser kuzatuvi va bepul davolash imkoniyatlari tushuntiriladi; to'siq davom etsa, tushuntirish xati olinib, kartaga tikiladi; xatni berishdan bosh tortgan, yashirinib yurgan yoki sherigi haqida to'liq ma'lumot bermagan holatlarda bosh shifokor va hududiy IIB Jinoiy qidiruv bo'limiga bildirishnoma yuboriladi [1]. Istisno sifatida, agar shaxs ma'lumotlarni DPMlarga yuborishga qarshi bo'lib, ijtimoiy muammolar (suitsid, yashash joyini yashirish, dispanserdan bosh tortish) xavfi bo'lsa, TTBga xabarnoma «anonim» (F.I.Sh. va manzilsiz) yuboriladi, oilaviy poliklinikada surishtiruv o'tkazilmaydi, tibbiy muassasalardagi hujjatlar retrospektiv o'rganiladi va anonimlik bekor qilinishi mumkinligi aytiladi [1]. Qonunga ko'ra OIV aniqlangan shaxs maslahatdan keyin dispanser hisobiga qo'yiladi va jinoiy javobgarlik haqida yozma ogohlantiriladi [2].</w:t>
      </w:r>
    </w:p>
    <w:p>
      <w:pPr>
        <w:pStyle w:val="Heading2"/>
        <w:spacing w:after="100" w:before="200"/>
      </w:pPr>
      <w:r>
        <w:rPr>
          <w:rFonts w:ascii="Times New Roman" w:cs="Times New Roman" w:eastAsia="Times New Roman" w:hAnsi="Times New Roman"/>
          <w:b/>
          <w:bCs/>
          <w:sz w:val="28"/>
          <w:szCs w:val="28"/>
        </w:rPr>
        <w:t xml:space="preserve">Jinsiy sheriklar va kontaktdagilar</w:t>
      </w:r>
    </w:p>
    <w:p>
      <w:pPr>
        <w:pStyle w:val="ListParagraph"/>
        <w:numPr>
          <w:ilvl w:val="0"/>
          <w:numId w:val="3"/>
        </w:numPr>
        <w:spacing w:after="60" w:line="276"/>
        <w:jc w:val="both"/>
      </w:pPr>
      <w:r>
        <w:rPr>
          <w:rFonts w:ascii="Times New Roman" w:cs="Times New Roman" w:eastAsia="Times New Roman" w:hAnsi="Times New Roman"/>
          <w:sz w:val="28"/>
          <w:szCs w:val="28"/>
        </w:rPr>
        <w:t xml:space="preserve">Epidemiolog jinsiy sherik borligini aniqlaydi, ma'lumotni surishtiruv va dispanser kartasiga yozadi, bemorga sherikka OIV holatini ochishni va tekshiruvdan o'tishni tavsiya etadi; bemor rad etsa yoki muomalaga layoqatsiz bo'lsa, «Fuqarolar sog'lig'ini saqlash to'g'risida»gi Qonunning 45-moddasi asosida epidemiolog yoki yuqumli kasalliklar shifokori sherikka aytish huquqiga ega [1].</w:t>
      </w:r>
    </w:p>
    <w:p>
      <w:pPr>
        <w:pStyle w:val="ListParagraph"/>
        <w:numPr>
          <w:ilvl w:val="0"/>
          <w:numId w:val="3"/>
        </w:numPr>
        <w:spacing w:after="60" w:line="276"/>
        <w:jc w:val="both"/>
      </w:pPr>
      <w:r>
        <w:rPr>
          <w:rFonts w:ascii="Times New Roman" w:cs="Times New Roman" w:eastAsia="Times New Roman" w:hAnsi="Times New Roman"/>
          <w:sz w:val="28"/>
          <w:szCs w:val="28"/>
        </w:rPr>
        <w:t xml:space="preserve">Sheriklarni o'z vaqtida tekshirish OITS markazi poliklinika bo'limiga yuklatilgan: shifokor sherikning markazga tashrifini tashkil etib, har 6 oyda tekshirilishini ta'minlaydi, ma'lumot har oy metodik bo'limga beriladi va har 6 oyda monitoring qilinadi [1].</w:t>
      </w:r>
    </w:p>
    <w:p>
      <w:pPr>
        <w:pStyle w:val="ListParagraph"/>
        <w:numPr>
          <w:ilvl w:val="0"/>
          <w:numId w:val="3"/>
        </w:numPr>
        <w:spacing w:after="60" w:line="276"/>
        <w:jc w:val="both"/>
      </w:pPr>
      <w:r>
        <w:rPr>
          <w:rFonts w:ascii="Times New Roman" w:cs="Times New Roman" w:eastAsia="Times New Roman" w:hAnsi="Times New Roman"/>
          <w:sz w:val="28"/>
          <w:szCs w:val="28"/>
        </w:rPr>
        <w:t xml:space="preserve">OIV-manfiy sherikka, JSST bo'yicha, davolanayotgan va virusi aniqlanmaydigan sherik virus yuqtirmaydi; shuning uchun sherikni ARTga erta jalb qilish ham epidemiyaga qarshi chora hisoblanadi [3]. Qonunga ko'ra jinsiy sherigida OIV aniqlangan shaxslar majburiy tekshiriladi [2].</w:t>
      </w:r>
    </w:p>
    <w:p>
      <w:pPr>
        <w:pStyle w:val="Heading2"/>
        <w:spacing w:after="100" w:before="200"/>
      </w:pPr>
      <w:r>
        <w:rPr>
          <w:rFonts w:ascii="Times New Roman" w:cs="Times New Roman" w:eastAsia="Times New Roman" w:hAnsi="Times New Roman"/>
          <w:b/>
          <w:bCs/>
          <w:sz w:val="28"/>
          <w:szCs w:val="28"/>
        </w:rPr>
        <w:t xml:space="preserve">Tibbiy muassasalarda yuqish gumon qilinganda (nozokomial)</w:t>
      </w:r>
    </w:p>
    <w:p>
      <w:pPr>
        <w:spacing w:after="120" w:line="276"/>
        <w:ind w:firstLine="567"/>
        <w:jc w:val="both"/>
      </w:pPr>
      <w:r>
        <w:rPr>
          <w:rFonts w:ascii="Times New Roman" w:cs="Times New Roman" w:eastAsia="Times New Roman" w:hAnsi="Times New Roman"/>
          <w:sz w:val="28"/>
          <w:szCs w:val="28"/>
        </w:rPr>
        <w:t xml:space="preserve">Quyidagilar aniqlansa shifoxona ichi yuqish gumon qilinadi: qon yoki uning tarkibiy qismlari quyilgan; teri butunligi buzilishi bilan bog'liq boshqa amaliyotlar (jarrohlik, stomatologik, LOR, ginekologik, kateterizatsiya); bemor 18 yoshgacha, onasi sog'lom va bolada tartibsiz jinsiy aloqalar inkor etilgan [1]. Bunda bemor davolangan barcha DPMga chiqib, tibbiy hujjatlar retrospektiv o'rganiladi, tekshiruv kunidagi sanitariya-epidemiyaga qarshi rejim holati baholanadi; bir vaqtda davolanganlar va parenteral muolajalarni o'tkazgan xodimlar ro'yxati tuziladi, OIV bazasi bilan solishtiriladi va kerak bo'lsa tekshiruv rejasi (kimni, qachon, qayerda) tuziladi; qon quyilgan bo'lsa, donorni qayta tekshirish vazifasi qon olgan muassasaga yuklanadi; gumon qilingan muassasa bo'yicha konsilium xulosasi bilan bayonnoma tuziladi, muassasa rahbariga 4-shakl bo'yicha bildirishnoma yuboriladi [1]. Hujjatlar topilmasa, arxiv yoki tashkilot vakili ishtirokida dalolatnoma talab etiladi, asossiz taqdim etilmasa rahbar javobgar bo'ladi; xususiy DPMda tekshiruv uchun Litsenziyalash va akkreditatsiyalash boshqarmasidan ruxsat so'raladi [1]. 2024-yil 64-son buyruqqa ko'ra shifoxona ichi yuqishi gumon qilingan har bir holat har chorakda tibbiy kengashlarda muhokama qilinadi [4].</w:t>
      </w:r>
    </w:p>
    <w:p>
      <w:pPr>
        <w:pStyle w:val="Heading2"/>
        <w:spacing w:after="100" w:before="200"/>
      </w:pPr>
      <w:r>
        <w:rPr>
          <w:rFonts w:ascii="Times New Roman" w:cs="Times New Roman" w:eastAsia="Times New Roman" w:hAnsi="Times New Roman"/>
          <w:b/>
          <w:bCs/>
          <w:sz w:val="28"/>
          <w:szCs w:val="28"/>
        </w:rPr>
        <w:t xml:space="preserve">Maxsus holatlar</w:t>
      </w:r>
    </w:p>
    <w:p>
      <w:pPr>
        <w:pStyle w:val="ListParagraph"/>
        <w:numPr>
          <w:ilvl w:val="0"/>
          <w:numId w:val="4"/>
        </w:numPr>
        <w:spacing w:after="60" w:line="276"/>
        <w:jc w:val="both"/>
      </w:pPr>
      <w:r>
        <w:rPr>
          <w:rFonts w:ascii="Times New Roman" w:cs="Times New Roman" w:eastAsia="Times New Roman" w:hAnsi="Times New Roman"/>
          <w:sz w:val="28"/>
          <w:szCs w:val="28"/>
        </w:rPr>
        <w:t xml:space="preserve">Donorda IFA musbat bo'lsa, qon 24 soat ichida komissiya ishtirokida yo'q qilinadi, donor umrbod donorlikdan chetlashtiriladi; avval topshirilgan qon ishlatilgan bo'lsa, qon markazi hujjatlari, qon quyish hisob jurnali orqali retsipiyent aniqlanib, OIVga tekshirishga taklif etiladi [1].</w:t>
      </w:r>
    </w:p>
    <w:p>
      <w:pPr>
        <w:pStyle w:val="ListParagraph"/>
        <w:numPr>
          <w:ilvl w:val="0"/>
          <w:numId w:val="4"/>
        </w:numPr>
        <w:spacing w:after="60" w:line="276"/>
        <w:jc w:val="both"/>
      </w:pPr>
      <w:r>
        <w:rPr>
          <w:rFonts w:ascii="Times New Roman" w:cs="Times New Roman" w:eastAsia="Times New Roman" w:hAnsi="Times New Roman"/>
          <w:sz w:val="28"/>
          <w:szCs w:val="28"/>
        </w:rPr>
        <w:t xml:space="preserve">Tibbiyot xodimida OIV aniqlansa, yuqish kasb kasalligi toifasiga kiradi va tartib bo'yicha epidemiologik surishtiruv o'tkaziladi, tibbiy kuzatuvga olinadi [1][2].</w:t>
      </w:r>
    </w:p>
    <w:p>
      <w:pPr>
        <w:pStyle w:val="ListParagraph"/>
        <w:numPr>
          <w:ilvl w:val="0"/>
          <w:numId w:val="4"/>
        </w:numPr>
        <w:spacing w:after="60" w:line="276"/>
        <w:jc w:val="both"/>
      </w:pPr>
      <w:r>
        <w:rPr>
          <w:rFonts w:ascii="Times New Roman" w:cs="Times New Roman" w:eastAsia="Times New Roman" w:hAnsi="Times New Roman"/>
          <w:sz w:val="28"/>
          <w:szCs w:val="28"/>
        </w:rPr>
        <w:t xml:space="preserve">Munozarali holat (shaxs tashxisga ishonmasa): OITS markazida epidemiolog, infeksionist va vrach-laborant ishtirokida komission qon olinadi va IFA, ba'zan sifat va miqdoriy PZR bilan tekshiriladi; musbat bo'lsa tashxis tasdiqlanadi, immunoblot qayta o'tkazilmaydi, manfiy bo'lsa komissiya klinik va epidemiologik ko'rsatmaga qarab tashxisni bekor qilishni hal qiladi [1].</w:t>
      </w:r>
    </w:p>
    <w:p>
      <w:pPr>
        <w:pStyle w:val="ListParagraph"/>
        <w:numPr>
          <w:ilvl w:val="0"/>
          <w:numId w:val="4"/>
        </w:numPr>
        <w:spacing w:after="60" w:line="276"/>
        <w:jc w:val="both"/>
      </w:pPr>
      <w:r>
        <w:rPr>
          <w:rFonts w:ascii="Times New Roman" w:cs="Times New Roman" w:eastAsia="Times New Roman" w:hAnsi="Times New Roman"/>
          <w:sz w:val="28"/>
          <w:szCs w:val="28"/>
        </w:rPr>
        <w:t xml:space="preserve">Shaxs o'lganda: jasad boshqa tabiiy o'lim kabi dafn etiladi, patologoanatomik tadbirlar standart ehtiyot choralariga rioya qilib o'tkaziladi; OIV tasdiqlangunga qadar vafot etgan bo'lsa, oila a'zolari (turmush o'rtog'i, bolalar) doimiy ro'yxatdagi poliklinika tomonidan tekshiriladi, vafot etgan shaxsning holati faqat turmush o'rtog'iga, 18 yoshgacha bolalarda ota-onasiga ochiladi [1].</w:t>
      </w:r>
    </w:p>
    <w:p>
      <w:pPr>
        <w:pStyle w:val="ListParagraph"/>
        <w:numPr>
          <w:ilvl w:val="0"/>
          <w:numId w:val="4"/>
        </w:numPr>
        <w:spacing w:after="60" w:line="276"/>
        <w:jc w:val="both"/>
      </w:pPr>
      <w:r>
        <w:rPr>
          <w:rFonts w:ascii="Times New Roman" w:cs="Times New Roman" w:eastAsia="Times New Roman" w:hAnsi="Times New Roman"/>
          <w:sz w:val="28"/>
          <w:szCs w:val="28"/>
        </w:rPr>
        <w:t xml:space="preserve">Vertikal yo'l: onada OIV aniqlansa, 18 oygacha bola vertikal yuqish algoritmi bo'yicha tekshiriladi [1][5].</w:t>
      </w:r>
    </w:p>
    <w:p>
      <w:pPr>
        <w:pStyle w:val="Heading2"/>
        <w:spacing w:after="100" w:before="200"/>
      </w:pPr>
      <w:r>
        <w:rPr>
          <w:rFonts w:ascii="Times New Roman" w:cs="Times New Roman" w:eastAsia="Times New Roman" w:hAnsi="Times New Roman"/>
          <w:b/>
          <w:bCs/>
          <w:sz w:val="28"/>
          <w:szCs w:val="28"/>
        </w:rPr>
        <w:t xml:space="preserve">Surishtiruv natijasi bo'yicha tadbirlar</w:t>
      </w:r>
    </w:p>
    <w:p>
      <w:pPr>
        <w:spacing w:after="120" w:line="276"/>
        <w:ind w:firstLine="567"/>
        <w:jc w:val="both"/>
      </w:pPr>
      <w:r>
        <w:rPr>
          <w:rFonts w:ascii="Times New Roman" w:cs="Times New Roman" w:eastAsia="Times New Roman" w:hAnsi="Times New Roman"/>
          <w:sz w:val="28"/>
          <w:szCs w:val="28"/>
        </w:rPr>
        <w:t xml:space="preserve">Natijaga ko'ra manba va yuqish omillari aniqlanadi, xulosa qilinadi, DPM va Davlat sanitariya-epidemiologiya xizmatiga profilaktik hamda epidemiyaga qarshi tadbirlarni kuchaytirish so'raladi, qonun buzilishi aniqlansa tegishli organlarga taqdim etiladi, hududiy markaz ma'lumotlarni oylik statistika sifatida viloyat boshqarmalariga beradi [1]. Statistika uchun: hududiy markaz tasdiqlangan holatlar haqida elektron bazaga kiritish uchun Respublika markaziga bayonnoma yuboradi va elektron tartib raqami oladi [1].</w:t>
      </w:r>
    </w:p>
    <w:p>
      <w:pPr>
        <w:pStyle w:val="Heading2"/>
        <w:spacing w:after="100" w:before="200"/>
      </w:pPr>
      <w:r>
        <w:rPr>
          <w:rFonts w:ascii="Times New Roman" w:cs="Times New Roman" w:eastAsia="Times New Roman" w:hAnsi="Times New Roman"/>
          <w:b/>
          <w:bCs/>
          <w:sz w:val="28"/>
          <w:szCs w:val="28"/>
        </w:rPr>
        <w:t xml:space="preserve">Xulosa</w:t>
      </w:r>
    </w:p>
    <w:p>
      <w:pPr>
        <w:spacing w:after="120" w:line="276"/>
        <w:ind w:firstLine="567"/>
        <w:jc w:val="both"/>
      </w:pPr>
      <w:r>
        <w:rPr>
          <w:rFonts w:ascii="Times New Roman" w:cs="Times New Roman" w:eastAsia="Times New Roman" w:hAnsi="Times New Roman"/>
          <w:sz w:val="28"/>
          <w:szCs w:val="28"/>
        </w:rPr>
        <w:t xml:space="preserve">OIV o'chog'ida epidemiologik surishtiruv xabarnomadan boshlanib, 2- va 3-shakllar, suhbat, jinsiy sheriklarni tekshirish, tibbiy muassasalardagi retrospektiv tahlil, donor va retsipiyentlarni tekshirish hamda konsilium xulosasini o'z ichiga oladi. Maxfiylik va ixtiyoriylik tamoyillari saqlanib, manba va yuqish yo'li aniqlanadi va tarqalishning oldi olinadi.</w:t>
      </w:r>
    </w:p>
    <w:p>
      <w:pPr>
        <w:pStyle w:val="Heading2"/>
        <w:spacing w:after="100" w:before="280"/>
      </w:pPr>
      <w:r>
        <w:rPr>
          <w:rFonts w:ascii="Times New Roman" w:cs="Times New Roman" w:eastAsia="Times New Roman" w:hAnsi="Times New Roman"/>
          <w:b/>
          <w:bCs/>
          <w:sz w:val="28"/>
          <w:szCs w:val="28"/>
        </w:rPr>
        <w:t xml:space="preserve">Foydalanilgan adabiyotlar</w:t>
      </w:r>
    </w:p>
    <w:p>
      <w:pPr>
        <w:pStyle w:val="ListParagraph"/>
        <w:numPr>
          <w:ilvl w:val="0"/>
          <w:numId w:val="5"/>
        </w:numPr>
        <w:spacing w:after="80" w:line="260"/>
      </w:pPr>
      <w:r>
        <w:rPr>
          <w:rFonts w:ascii="Times New Roman" w:cs="Times New Roman" w:eastAsia="Times New Roman" w:hAnsi="Times New Roman"/>
          <w:sz w:val="28"/>
          <w:szCs w:val="28"/>
        </w:rPr>
        <w:t xml:space="preserve">O'zbekiston Respublikasi Sog'liqni saqlash vazirining 2021-yil 6-sentabrdagi 219-son buyrug'i (1–3-ilovalar: maslahat berish va yo'naltirish, laborator tashxis, epidemiologik surishtiruv). Manba: xayrullokomilov.uz/kutubxona, material № 459 (matn kirill yozuvida).</w:t>
      </w:r>
    </w:p>
    <w:p>
      <w:pPr>
        <w:pStyle w:val="ListParagraph"/>
        <w:numPr>
          <w:ilvl w:val="0"/>
          <w:numId w:val="5"/>
        </w:numPr>
        <w:spacing w:after="80" w:line="260"/>
      </w:pPr>
      <w:r>
        <w:rPr>
          <w:rFonts w:ascii="Times New Roman" w:cs="Times New Roman" w:eastAsia="Times New Roman" w:hAnsi="Times New Roman"/>
          <w:sz w:val="28"/>
          <w:szCs w:val="28"/>
        </w:rPr>
        <w:t xml:space="preserve">O'zbekiston Respublikasining Qonuni «OIV infeksiyasi tarqalishiga qarshi kurashish to'g'risida» (LexUZ matni). Manba: xayrullokomilov.uz/kutubxona, material № 198 (matn kirill yozuvida).</w:t>
      </w:r>
    </w:p>
    <w:p>
      <w:pPr>
        <w:pStyle w:val="ListParagraph"/>
        <w:numPr>
          <w:ilvl w:val="0"/>
          <w:numId w:val="5"/>
        </w:numPr>
        <w:spacing w:after="80" w:line="260"/>
      </w:pPr>
      <w:r>
        <w:rPr>
          <w:rFonts w:ascii="Times New Roman" w:cs="Times New Roman" w:eastAsia="Times New Roman" w:hAnsi="Times New Roman"/>
          <w:sz w:val="28"/>
          <w:szCs w:val="28"/>
        </w:rPr>
        <w:t xml:space="preserve">World Health Organization. HIV and AIDS (fact sheet). URL: https://www.who.int/news-room/fact-sheets/detail/hiv-aids (kirilgan sana: 30.10.2026).</w:t>
      </w:r>
    </w:p>
    <w:p>
      <w:pPr>
        <w:pStyle w:val="ListParagraph"/>
        <w:numPr>
          <w:ilvl w:val="0"/>
          <w:numId w:val="5"/>
        </w:numPr>
        <w:spacing w:after="80" w:line="260"/>
      </w:pPr>
      <w:r>
        <w:rPr>
          <w:rFonts w:ascii="Times New Roman" w:cs="Times New Roman" w:eastAsia="Times New Roman" w:hAnsi="Times New Roman"/>
          <w:sz w:val="28"/>
          <w:szCs w:val="28"/>
        </w:rPr>
        <w:t xml:space="preserve">O'zbekiston Respublikasi Sog'liqni saqlash vazirining 2024-yil 29-fevraldagi 64-son buyrug'i: davolash-profilaktika muassasalarida OIV infeksiyasini shifoxona ichi sharoitida tarqalish holatlarining oldini olish. Manba: xayrullokomilov.uz/kutubxona, material № 378.</w:t>
      </w:r>
    </w:p>
    <w:p>
      <w:pPr>
        <w:pStyle w:val="ListParagraph"/>
        <w:numPr>
          <w:ilvl w:val="0"/>
          <w:numId w:val="5"/>
        </w:numPr>
        <w:spacing w:after="80" w:line="260"/>
      </w:pPr>
      <w:r>
        <w:rPr>
          <w:rFonts w:ascii="Times New Roman" w:cs="Times New Roman" w:eastAsia="Times New Roman" w:hAnsi="Times New Roman"/>
          <w:sz w:val="28"/>
          <w:szCs w:val="28"/>
        </w:rPr>
        <w:t xml:space="preserve">O'zbekiston Respublikasi Sog'liqni saqlash vazirining 2018-yil 30-apreldagi 277-son buyrug'i: OIV infeksiyali bemorlarning dispanser nazorati bo'yicha milliy klinik protokol. Manba: xayrullokomilov.uz/kutubxona, material № 465 (matn kirill yozuvida).</w:t>
      </w:r>
    </w:p>
    <w:sectPr>
      <w:pgSz w:w="11906" w:h="16838" w:orient="portrait"/>
      <w:pgMar w:top="1134" w:right="850" w:bottom="1134"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720"/>
      </w:pPr>
      <w:rPr>
        <w:rFonts w:ascii="Times New Roman" w:cs="Times New Roman" w:eastAsia="Times New Roman" w:hAnsi="Times New Roman"/>
        <w:sz w:val="28"/>
        <w:szCs w:val="28"/>
      </w:rPr>
    </w:lvl>
  </w:abstractNum>
  <w:abstractNum w:abstractNumId="3"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4"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5"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80"/>
    </w:pPr>
  </w:style>
  <w:style w:type="paragraph" w:styleId="TOC3">
    <w:name w:val="toc 3"/>
    <w:basedOn w:val="Normal"/>
    <w:next w:val="Normal"/>
    <w:uiPriority w:val="39"/>
    <w:semiHidden/>
    <w:unhideWhenUsed/>
    <w:pPr>
      <w:spacing w:after="100"/>
      <w:ind w:left="560"/>
    </w:pPr>
  </w:style>
  <w:style w:type="paragraph" w:styleId="TOC4">
    <w:name w:val="toc 4"/>
    <w:basedOn w:val="Normal"/>
    <w:next w:val="Normal"/>
    <w:uiPriority w:val="39"/>
    <w:semiHidden/>
    <w:unhideWhenUsed/>
    <w:pPr>
      <w:spacing w:after="100"/>
      <w:ind w:left="840"/>
    </w:pPr>
  </w:style>
  <w:style w:type="paragraph" w:styleId="TOC5">
    <w:name w:val="toc 5"/>
    <w:basedOn w:val="Normal"/>
    <w:next w:val="Normal"/>
    <w:uiPriority w:val="39"/>
    <w:semiHidden/>
    <w:unhideWhenUsed/>
    <w:pPr>
      <w:spacing w:after="100"/>
      <w:ind w:left="1120"/>
    </w:pPr>
  </w:style>
  <w:style w:type="paragraph" w:styleId="TOC6">
    <w:name w:val="toc 6"/>
    <w:basedOn w:val="Normal"/>
    <w:next w:val="Normal"/>
    <w:uiPriority w:val="39"/>
    <w:semiHidden/>
    <w:unhideWhenUsed/>
    <w:pPr>
      <w:spacing w:after="100"/>
      <w:ind w:left="1400"/>
    </w:pPr>
  </w:style>
  <w:style w:type="paragraph" w:styleId="TOC7">
    <w:name w:val="toc 7"/>
    <w:basedOn w:val="Normal"/>
    <w:next w:val="Normal"/>
    <w:uiPriority w:val="39"/>
    <w:semiHidden/>
    <w:unhideWhenUsed/>
    <w:pPr>
      <w:spacing w:after="100"/>
      <w:ind w:left="1680"/>
    </w:pPr>
  </w:style>
  <w:style w:type="paragraph" w:styleId="TOC8">
    <w:name w:val="toc 8"/>
    <w:basedOn w:val="Normal"/>
    <w:next w:val="Normal"/>
    <w:uiPriority w:val="39"/>
    <w:semiHidden/>
    <w:unhideWhenUsed/>
    <w:pPr>
      <w:spacing w:after="100"/>
      <w:ind w:left="1960"/>
    </w:pPr>
  </w:style>
  <w:style w:type="paragraph" w:styleId="TOC9">
    <w:name w:val="toc 9"/>
    <w:basedOn w:val="Normal"/>
    <w:next w:val="Normal"/>
    <w:uiPriority w:val="39"/>
    <w:semiHidden/>
    <w:unhideWhenUsed/>
    <w:pPr>
      <w:spacing w:after="100"/>
      <w:ind w:left="224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40" w:before="0"/>
      <w:outlineLvl w:val="0"/>
    </w:pPr>
    <w:rPr>
      <w:rFonts w:ascii="Times New Roman" w:cs="Times New Roman" w:eastAsia="Times New Roman" w:hAnsi="Times New Roman"/>
      <w:b/>
      <w:bCs/>
      <w:color w:val="000000"/>
      <w:sz w:val="30"/>
      <w:szCs w:val="30"/>
    </w:rPr>
  </w:style>
  <w:style w:type="paragraph" w:styleId="Heading2">
    <w:name w:val="Heading 2"/>
    <w:basedOn w:val="Normal"/>
    <w:next w:val="Normal"/>
    <w:qFormat/>
    <w:pPr>
      <w:spacing w:after="100" w:before="200"/>
      <w:outlineLvl w:val="1"/>
    </w:pPr>
    <w:rPr>
      <w:rFonts w:ascii="Times New Roman" w:cs="Times New Roman" w:eastAsia="Times New Roman" w:hAnsi="Times New Roman"/>
      <w:b/>
      <w:bCs/>
      <w:color w:val="000000"/>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146. OIV infeksiyasi epidemik o'chog'ida epidemiologik surishtiruv</dc:title>
  <dc:creator>Epidemiologiya</dc:creator>
  <cp:lastModifiedBy>Un-named</cp:lastModifiedBy>
  <cp:revision>1</cp:revision>
  <dcterms:created xsi:type="dcterms:W3CDTF">2026-10-30T11:24:30.019Z</dcterms:created>
  <dcterms:modified xsi:type="dcterms:W3CDTF">2026-10-30T11:24:30.019Z</dcterms:modified>
</cp:coreProperties>
</file>

<file path=docProps/custom.xml><?xml version="1.0" encoding="utf-8"?>
<Properties xmlns="http://schemas.openxmlformats.org/officeDocument/2006/custom-properties" xmlns:vt="http://schemas.openxmlformats.org/officeDocument/2006/docPropsVTypes"/>
</file>