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54. Virusli gepatit A kasalligida epidemiologik nazoratni tashkil qilish va uning tarkibi.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Darslikka ko'ra, epidemiologik nazorat — epidemik jarayon rivojlanish sabablarini aniqlash va sharoitga mos tadbirlar o'tkazishni ta'minlaydigan qarorni o'z vaqtida qabul qilish uchun epidemik jarayon xususiyatlari va uning rivojlanishiga uzluksiz baho berishdan iborat. Epidemiyaga qarshi xizmat diagnostik faoliyati nazoratning asosini tashkil etadi va nazorat barcha bo'g'indagi muassasalarda, ular o'rtasida majburiy axborot almashinuvi bilan olib boriladi [1]. Virusli gepatit A (VGA) ichak infeksiyasi bo'lib, fekal-oral yo'l bilan tarqaladi, surunkali shaklga o'tmaydi, lekin belgisiz va yengil shakllari ko'p bo'lgani uchun uning nazorati aniq ro'yxatga olish va laboratoriya tasdig'iga tayanadi [2, 3].</w:t>
      </w:r>
    </w:p>
    <w:p>
      <w:pPr>
        <w:pStyle w:val="Heading2"/>
        <w:spacing w:after="100" w:before="200"/>
      </w:pPr>
      <w:r>
        <w:rPr>
          <w:rFonts w:ascii="Times New Roman" w:cs="Times New Roman" w:eastAsia="Times New Roman" w:hAnsi="Times New Roman"/>
          <w:b/>
          <w:bCs/>
          <w:sz w:val="28"/>
          <w:szCs w:val="28"/>
        </w:rPr>
        <w:t xml:space="preserve">Ro'yxatga olish va holat ta'rifi</w:t>
      </w:r>
    </w:p>
    <w:p>
      <w:pPr>
        <w:spacing w:after="120" w:line="276"/>
        <w:ind w:firstLine="567"/>
        <w:jc w:val="both"/>
      </w:pPr>
      <w:r>
        <w:rPr>
          <w:rFonts w:ascii="Times New Roman" w:cs="Times New Roman" w:eastAsia="Times New Roman" w:hAnsi="Times New Roman"/>
          <w:sz w:val="28"/>
          <w:szCs w:val="28"/>
        </w:rPr>
        <w:t xml:space="preserve">Diagnostik ishning muvaffaqiyati, avvalo, bemorlarni ro'yxatga olish va hisobga olishning aniqligiga bog'liq. Bu shifokorlar malakasiga hamda faqat yaqqol klinik shakllarni emas, yengil "atipik" shakllarni ham hisobga olishga bog'liq; ularning ro'yxatdan o'tmay qolmasligi uchun "kasallikning standart ta'rifi" taklif etiladi [1]. VGA da bu ayniqsa muhim: bemorlar belgisiz (sariqliksiz) va notipik kechganda aniqlanmay, kasallikni oyoqda o'tkazadi va aynan shu davrda eng yuqumli bo'ladi, sariqlik paydo bo'lishi bilan virus ajralishi to'xtaydi yoki kamayadi [2].</w:t>
      </w:r>
    </w:p>
    <w:p>
      <w:pPr>
        <w:pStyle w:val="Heading2"/>
        <w:spacing w:after="100" w:before="200"/>
      </w:pPr>
      <w:r>
        <w:rPr>
          <w:rFonts w:ascii="Times New Roman" w:cs="Times New Roman" w:eastAsia="Times New Roman" w:hAnsi="Times New Roman"/>
          <w:b/>
          <w:bCs/>
          <w:sz w:val="28"/>
          <w:szCs w:val="28"/>
        </w:rPr>
        <w:t xml:space="preserve">Epidemiologik nazoratning tarkibiy qismlari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Operativ tahlil: kasallanish darajasi, tarkibi, hududiy taqsimoti va vaqt dinamikasi haftalik va oylik ko'rsatkichlarda baholanadi; har bir yuqumli kasallik uchun haftalik hisob jadvali (epidemiologik chizma) yuritiladi va odatdagi kasallanish darajasi etalon sifatida olinadi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Retrospektiv tahlil: yillik, ko'p yillik; to'rt bosqichli — dastur tuzish, guruhlash, tavsiflash va analitik bosqich; VGA uchun mavsumiylik (sentyabr o'rtasidan boshlanib, oktyabr–noyabrda kuchayadi), xavfli guruhlar (maktabgacha va maktab yoshidagi bolalar) va xavfli hududlar aniqlanadi [1,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Laboratoriya nazorati: anti-HAV IgM o'tkir infeksiyani tasdiqlaydi va 3–4 oy saqlanadi, IgG esa aholining immunostrukturasini baholashda ishlatiladi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Atrof-muhit va suv nazorati: ich terlama va VGA bilan kasallanish suvni zararsizlantirish sifatiga to'liq bog'liq [1]; meva-sabzavotlar ifloslangan yerlarda yetishtirilganda virus bilan zararlanadi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Immunoprofilaktika holatini baholash: emlash qamrovi va xavfli guruhlar bo'yicha [3,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Tezkor javob: bemorni ajratish, muloqotda bo'lganlarni kuzatish, o'choqli dezinfeksiya [3, 5].</w:t>
      </w:r>
    </w:p>
    <w:p>
      <w:pPr>
        <w:pStyle w:val="Heading2"/>
        <w:spacing w:after="100" w:before="200"/>
      </w:pPr>
      <w:r>
        <w:rPr>
          <w:rFonts w:ascii="Times New Roman" w:cs="Times New Roman" w:eastAsia="Times New Roman" w:hAnsi="Times New Roman"/>
          <w:b/>
          <w:bCs/>
          <w:sz w:val="28"/>
          <w:szCs w:val="28"/>
        </w:rPr>
        <w:t xml:space="preserve">O'chog'ni epidemiologik tekshirish</w:t>
      </w:r>
    </w:p>
    <w:p>
      <w:pPr>
        <w:spacing w:after="120" w:line="276"/>
        <w:ind w:firstLine="567"/>
        <w:jc w:val="both"/>
      </w:pPr>
      <w:r>
        <w:rPr>
          <w:rFonts w:ascii="Times New Roman" w:cs="Times New Roman" w:eastAsia="Times New Roman" w:hAnsi="Times New Roman"/>
          <w:sz w:val="28"/>
          <w:szCs w:val="28"/>
        </w:rPr>
        <w:t xml:space="preserve">Har bir VGA o'chog'ida epidemiolog quyidagi usullardan foydalanadi: bemor va u bilan birga bo'lganlardan so'rab-surishtirish, tibbiy va boshqa hujjatlarni o'rganish (kasallik tarixlari, ambulatoriya kartalari, emlash ma'lumotlari, suv ta'minoti va ovqatlanish hujjatlari), o'choqni sanitariya jihatdan tekshirish, bemor va muloqotda bo'lganlarni laboratoriya tekshiruvidan o'tkazish hamda maksimal yashirin davr mobaynida o'choqni epidemiologik kuzatish [1]. O'choqning davomiyligi infeksiya manbai mavjud bo'lgan vaqt va kasallikning maksimal yashirin davri bilan belgilanadi, ya'ni bemor ketgandan yoki tuzalgandan keyin ham o'choq shu davr mobaynida ahamiyatini saqlaydi [1]. Epidemiologning ishi o'choqqa borishdan oldin, epidemiyaga qarshi muassasalar hujjatlarini o'rganish va laboratoriyaning namuna olishga tayyorligini ta'minlashdan boshlanadi [1]. Yashirin davr uzunligi uchun manbalar farq qiladi: taqdimotda 14–50 kun (o'rtacha 20–25), JSST bo'yicha odatda 14–28 kun, shu sababli kuzatuv muddatini belgilashda uzunroq oraliqdan foydalanish xavfsizroq bo'ladi [2, 6].</w:t>
      </w:r>
    </w:p>
    <w:p>
      <w:pPr>
        <w:pStyle w:val="Heading2"/>
        <w:spacing w:after="100" w:before="200"/>
      </w:pPr>
      <w:r>
        <w:rPr>
          <w:rFonts w:ascii="Times New Roman" w:cs="Times New Roman" w:eastAsia="Times New Roman" w:hAnsi="Times New Roman"/>
          <w:b/>
          <w:bCs/>
          <w:sz w:val="28"/>
          <w:szCs w:val="28"/>
        </w:rPr>
        <w:t xml:space="preserve">Xavf omillari va yuqish sharoitlarini aniqlash</w:t>
      </w:r>
    </w:p>
    <w:p>
      <w:pPr>
        <w:spacing w:after="120" w:line="276"/>
        <w:ind w:firstLine="567"/>
        <w:jc w:val="both"/>
      </w:pPr>
      <w:r>
        <w:rPr>
          <w:rFonts w:ascii="Times New Roman" w:cs="Times New Roman" w:eastAsia="Times New Roman" w:hAnsi="Times New Roman"/>
          <w:sz w:val="28"/>
          <w:szCs w:val="28"/>
        </w:rPr>
        <w:t xml:space="preserve">JSST ko'ra, VGA oilalarda ifloslangan qo'llar orqali ham yuqadi, masalan kasal odam oila a'zolari uchun ovqat tayyorlaganda; suv bilan bog'liq avj olishlar kam uchraydi va odatda oqova suv bilan ifloslangan yoki yetarli tozalanmagan suv bilan bog'liq; oddiy kundalik aloqa virusni yoymaydi [6]. Nazorat shuning uchun yuqish omillarini — suv, oziq-ovqat va qo'l gigiyenasini — aniq qayd etishga qaratiladi. Taqdimotda 2010-yil uchun respublikada aniqlangan yuqish omillari ulushi diagrammasi keltirilgan, ammo uning raqamlari matn nusxasida mavjud emas, shuning uchun foizlar tasdiqlanmadi [2]. Retrospektiv tahlil uchun hisobot hujjatlari, aholining demografik tavsifi, ijtimoiy va tabiiy omillar (masalan, yoz harorati farqlari), suv ta'minoti, ovqatlanish va turar joy sharoitiga oid ma'lumotlar zarur [1].</w:t>
      </w:r>
    </w:p>
    <w:p>
      <w:pPr>
        <w:pStyle w:val="Heading2"/>
        <w:spacing w:after="100" w:before="200"/>
      </w:pPr>
      <w:r>
        <w:rPr>
          <w:rFonts w:ascii="Times New Roman" w:cs="Times New Roman" w:eastAsia="Times New Roman" w:hAnsi="Times New Roman"/>
          <w:b/>
          <w:bCs/>
          <w:sz w:val="28"/>
          <w:szCs w:val="28"/>
        </w:rPr>
        <w:t xml:space="preserve">O'zbekiston ma'lumotlari</w:t>
      </w:r>
    </w:p>
    <w:p>
      <w:pPr>
        <w:spacing w:after="120" w:line="276"/>
        <w:ind w:firstLine="567"/>
        <w:jc w:val="both"/>
      </w:pPr>
      <w:r>
        <w:rPr>
          <w:rFonts w:ascii="Times New Roman" w:cs="Times New Roman" w:eastAsia="Times New Roman" w:hAnsi="Times New Roman"/>
          <w:sz w:val="28"/>
          <w:szCs w:val="28"/>
        </w:rPr>
        <w:t xml:space="preserve">SEO va JS qo'mitasi oylik hisobotlari asosidagi 2023-yil 27-iyuldagi tahlilda VGA bo'yicha o'tgan oyda 2181 holat, oldingi oyda 1988, o'tgan yilning shu oyida 831 holat qayd etilgan; eng ko'p holat Samarqand viloyatida (604) bo'lgan, ammo hisobot oyi ko'rsatilmagan [3]. Bu tahlil operativ nazoratda oylik o'sish (+193 oldingi oyga nisbatan) va o'tgan yilning shu oyiga nisbatan sezilarli o'sish (+1350) kabi taqqoslash ko'rsatkichlari ishlatilishini ko'rsatadi [3]. Bolalar jamoalari uchun 2022–2023-yillarga mo'ljallangan qo'shma dasturda maktab va maktabgacha tashkilotlarning sanitariya-gigiyenik holati va hududlarning epidemiologik vaziyati bo'yicha tahliliy ma'lumot tayyorlash, mavjud kamchiliklarni bartaraf etish ko'zda tutilgan [4].</w:t>
      </w:r>
    </w:p>
    <w:p>
      <w:pPr>
        <w:pStyle w:val="Heading2"/>
        <w:spacing w:after="100" w:before="200"/>
      </w:pPr>
      <w:r>
        <w:rPr>
          <w:rFonts w:ascii="Times New Roman" w:cs="Times New Roman" w:eastAsia="Times New Roman" w:hAnsi="Times New Roman"/>
          <w:b/>
          <w:bCs/>
          <w:sz w:val="28"/>
          <w:szCs w:val="28"/>
        </w:rPr>
        <w:t xml:space="preserve">Chora-tadbirlarni rejalashtirish</w:t>
      </w:r>
    </w:p>
    <w:p>
      <w:pPr>
        <w:spacing w:after="120" w:line="276"/>
        <w:ind w:firstLine="567"/>
        <w:jc w:val="both"/>
      </w:pPr>
      <w:r>
        <w:rPr>
          <w:rFonts w:ascii="Times New Roman" w:cs="Times New Roman" w:eastAsia="Times New Roman" w:hAnsi="Times New Roman"/>
          <w:sz w:val="28"/>
          <w:szCs w:val="28"/>
        </w:rPr>
        <w:t xml:space="preserve">Darslikka ko'ra, profilaktika va epidemiyaga qarshi ish albatta rejalashtirilishi kerak; rejada bajarish muddatlari, mas'ul ijrochilar, ma'muriy va moddiy ta'minot ko'rsatiladi, muammoli-tematik yoki maqsadli rejalarda epidemiologlar boshqa xizmatlar va mahalliy hokimiyat bilan birga tashabbuskor bo'ladi [1]. VGA o'choqlarida o'choqli (yakuniy) dezinfeksiya majburiy; u bemor yotqizilgan paytdan 24 soat ichida va kamida 95 foiz qamrov bilan o'tkaziladi, sifat surtmalar va qoldiq vosita testlari bilan baholanadi [5]. JSST gepatit A xavfsiz suv, sanitariya va qo'l gigiyenasi yetishmasligi bilan bog'liqligini, xavfsiz va samarali vaksina mavjudligini ta'kidlaydi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VGA bo'yicha epidemiologik nazorat aniq ro'yxatga olish, operativ va retrospektiv tahlil, laboratoriya tasdig'i, suv va oziq-ovqat nazorati hamda emlash qamrovini baholashdan iborat. Belgisiz va yengil shakllar ko'pligi sababli standart holat ta'rifi va anti-HAV IgM tekshiruvi nazoratning ishonchliligini belgilaydi [1, 2]. Vrach-epidemiolog har bir yangi holat uchun epidemiologik tekshirish kartasini to'ldirishi, mavsumiy ko'tarilish oldidan (avgust–sentyabr) bolalar jamoalarida sanitariya-gigiyenik holat, suv va oziq-ovqat bloklarini tekshirishi hamda natijalarni keyingi retrospektiv tahlilda ishlatish uchun saqlashi lozim [1, 4]. Reja yillik ish rejasiga kiritilib, muddatlar va mas'ullar belgilanishi kerak [1]. Shuningdek, tahlil natijalari bolalar jamoalaridagi tadbirlar rejasi va hududlarga resurslarni taqsimlash uchun asos bo'lishi kerak [1,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Mirtazayev O.M., Zueva L.P., Matnazarova G.S. Epidemiologiya (darslik). Toshkent, 2016. 14-bob: Epidemiologik nazorat (122–132-betlar). Manba: xayrullokomilov.uz/kutubxona, material № 2356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Virusli gepatit A epidemiologiyasi va profilaktikasi (taqdimot; muallifi va sanasi ko'rsatilmagan). Manba: xayrullokomilov.uz/kutubxona, material № 1471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Respublikasida virusli gepatit A bilan kasallanish holati (SEO va JS qo'mitasi oylik hisobotlari asosidagi tahlil, tahlil sanasi 27.07.2023). Manba: xayrullokomilov.uz/kutubxona, material № 1435 (ikkilamchi manba; hisobot oyi ko'rsatilmagan).</w:t>
      </w:r>
    </w:p>
    <w:p>
      <w:pPr>
        <w:pStyle w:val="ListParagraph"/>
        <w:numPr>
          <w:ilvl w:val="0"/>
          <w:numId w:val="3"/>
        </w:numPr>
        <w:spacing w:after="80" w:line="260"/>
      </w:pPr>
      <w:r>
        <w:rPr>
          <w:rFonts w:ascii="Times New Roman" w:cs="Times New Roman" w:eastAsia="Times New Roman" w:hAnsi="Times New Roman"/>
          <w:sz w:val="28"/>
          <w:szCs w:val="28"/>
        </w:rPr>
        <w:t xml:space="preserve">Respublikada bolalar o'rtasida yuqumli va parazitar kasalliklar, jumladan virusli gepatit A bilan kasallanishni kamaytirishga qaratilgan 2022–2023-yillarga mo'ljallangan qo'shma chora-tadbirlar dasturi (SEO va JS xizmati boshlig'i tasdiqlagan). Manba: xayrullokomilov.uz/kutubxona, material № 1448 (skanerlangan nusxa, OCR xatolari mavjud; raqam va sana to'liq o'qilmaydi).</w:t>
      </w:r>
    </w:p>
    <w:p>
      <w:pPr>
        <w:pStyle w:val="ListParagraph"/>
        <w:numPr>
          <w:ilvl w:val="0"/>
          <w:numId w:val="3"/>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56, 63, 65-bandlar. URL: https://lex.uz/en/docs/-7556121. Manba: xayrullokomilov.uz/kutubxona, material № 660.</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Hepatitis A (fact sheet). URL: https://www.who.int/news-room/fact-sheets/detail/hepatitis-a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54. Virusli gepatit A kasalligida epidemiologik nazoratni tashkil qilish va uning tarkibi. Epidemiyaga qarshi chora-tadbirlarni rejalashtirish</dc:title>
  <dc:creator>Epidemiologiya</dc:creator>
  <cp:lastModifiedBy>Un-named</cp:lastModifiedBy>
  <cp:revision>1</cp:revision>
  <dcterms:created xsi:type="dcterms:W3CDTF">2026-10-30T02:22:28.895Z</dcterms:created>
  <dcterms:modified xsi:type="dcterms:W3CDTF">2026-10-30T02:22:28.896Z</dcterms:modified>
</cp:coreProperties>
</file>

<file path=docProps/custom.xml><?xml version="1.0" encoding="utf-8"?>
<Properties xmlns="http://schemas.openxmlformats.org/officeDocument/2006/custom-properties" xmlns:vt="http://schemas.openxmlformats.org/officeDocument/2006/docPropsVTypes"/>
</file>