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240"/>
        <w:jc w:val="center"/>
      </w:pPr>
      <w:r>
        <w:rPr>
          <w:rFonts w:ascii="Times New Roman" w:cs="Times New Roman" w:eastAsia="Times New Roman" w:hAnsi="Times New Roman"/>
          <w:b/>
          <w:bCs/>
          <w:sz w:val="28"/>
          <w:szCs w:val="28"/>
        </w:rPr>
        <w:t xml:space="preserve">120. Toshmali tif epidemiologiyasi va profilaktikasi</w:t>
      </w:r>
    </w:p>
    <w:p>
      <w:pPr>
        <w:pStyle w:val="Heading2"/>
        <w:spacing w:after="100" w:before="200"/>
      </w:pPr>
      <w:r>
        <w:rPr>
          <w:rFonts w:ascii="Times New Roman" w:cs="Times New Roman" w:eastAsia="Times New Roman" w:hAnsi="Times New Roman"/>
          <w:b/>
          <w:bCs/>
          <w:sz w:val="28"/>
          <w:szCs w:val="28"/>
        </w:rPr>
        <w:t xml:space="preserve">Kirish</w:t>
      </w:r>
    </w:p>
    <w:p>
      <w:pPr>
        <w:spacing w:after="120" w:line="276"/>
        <w:ind w:firstLine="567"/>
        <w:jc w:val="both"/>
      </w:pPr>
      <w:r>
        <w:rPr>
          <w:rFonts w:ascii="Times New Roman" w:cs="Times New Roman" w:eastAsia="Times New Roman" w:hAnsi="Times New Roman"/>
          <w:sz w:val="28"/>
          <w:szCs w:val="28"/>
        </w:rPr>
        <w:t xml:space="preserve">Epidemik toshmali tif – bitlar orqali yuqadigan, Provachek rikketsiyasi (Rickettsia prowazekii) qo'zg'atadigan o'tkir antroponoz rikketsioz; isitma, tarqalgan tomir shikastlanishi, meningoensefalit va ko'p shaklli roseolyoz-petexial toshma bilan kechadi [1][2]. Brill (Brill-Zinsser) kasalligi – ilgari toshmali tif o'tkazganlarda organizmda saqlanib qolgan rikketsiyalarning faollashuvi natijasida yuzaga keladigan qaytalanish bo'lib, odatda yengilroq kechadi [2]. Epidemik toshmali tifni kalamush (murin) tifidan ajratish kerak: buyruqda R. typhi kalamush toshmali tifining qo'zg'atuvchisi sifatida alohida ko'rsatilgan [2]. O'zbekistonda Sog'liqni saqlash vazirligining 2012-yildagi 6-son buyrug'i rikketsiozlar va pedikulyozga qarshi kurash tizimini belgilaydi [2].</w:t>
      </w:r>
    </w:p>
    <w:p>
      <w:pPr>
        <w:pStyle w:val="Heading2"/>
        <w:spacing w:after="100" w:before="200"/>
      </w:pPr>
      <w:r>
        <w:rPr>
          <w:rFonts w:ascii="Times New Roman" w:cs="Times New Roman" w:eastAsia="Times New Roman" w:hAnsi="Times New Roman"/>
          <w:b/>
          <w:bCs/>
          <w:sz w:val="28"/>
          <w:szCs w:val="28"/>
        </w:rPr>
        <w:t xml:space="preserve">Epidemik jarayon bo'g'inlari</w:t>
      </w:r>
    </w:p>
    <w:p>
      <w:pPr>
        <w:pStyle w:val="ListParagraph"/>
        <w:numPr>
          <w:ilvl w:val="0"/>
          <w:numId w:val="2"/>
        </w:numPr>
        <w:spacing w:after="60" w:line="276"/>
        <w:jc w:val="both"/>
      </w:pPr>
      <w:r>
        <w:rPr>
          <w:rFonts w:ascii="Times New Roman" w:cs="Times New Roman" w:eastAsia="Times New Roman" w:hAnsi="Times New Roman"/>
          <w:sz w:val="28"/>
          <w:szCs w:val="28"/>
        </w:rPr>
        <w:t xml:space="preserve">Qo'zg'atuvchi: grammanfiy, hujayra ichida ko'payuvchi mayda pleomorf mikroorganizm, oddiy oziq muhitlarda o'smaydi; tashqi muhitda chidamsiz – 58 °C da 30 daqiqada, 100 °C da bir soniyada o'ladi, bit najasida uzoq saqlanadi; R. prowazekii II patogenlik guruhiga kiritilgan [1][2].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Manba – yagona: toshmali tif yoki Brill kasalligi bilan og'riyotgan odam; kasallik odamdan odamga bevosita yuqmaydi. Bit bemor qonini so'rgach 4–7 kundan keyin yuqumli bo'ladi va umrining oxirigacha (taxminan 30–40 kun) xavfli; yuqumlilik kasallikning birinchi haftasida, ayniqsa 8–10-kunlarda yuqori (Raykher ma'lumoti: 8–10-kunlarda bitlarning 32,2% i zararlanadi) [1]. Brill kasalligi bilan og'riganlar bitlar bo'lganda epidemik toshmali tif manbasi bo'lishi mumkin [2]. Hayvonlarning rezervuar roli aniqlanmagan [2].</w:t>
      </w:r>
    </w:p>
    <w:p>
      <w:pPr>
        <w:pStyle w:val="ListParagraph"/>
        <w:numPr>
          <w:ilvl w:val="0"/>
          <w:numId w:val="2"/>
        </w:numPr>
        <w:spacing w:after="60" w:line="276"/>
        <w:jc w:val="both"/>
      </w:pPr>
      <w:r>
        <w:rPr>
          <w:rFonts w:ascii="Times New Roman" w:cs="Times New Roman" w:eastAsia="Times New Roman" w:hAnsi="Times New Roman"/>
          <w:sz w:val="28"/>
          <w:szCs w:val="28"/>
        </w:rPr>
        <w:t xml:space="preserve">Tashuvchi – asosan kiyim biti (Pediculus humanus corporis), kamroq bosh biti. Yuqish bitni chaqishi bilan emas, balki qashinishda bit najasidagi rikketsiyalarning shikastlangan terigacha ishqalanishi bilan sodir bo'ladi; yana aspiratsion yo'l (bit najasi changini nafas olish) va laboratoriyada havo-chang yo'li mavjud [1][2]. CDC ham zararlanish bit najasi yoki ezilgan bit bilan shikastlangan teri aloqasida, ba'zan quritilgan najasni nafas olishda yuz berishini ko'rsatadi [5]. Kiyim biti haroratga bog'liq: 31,5–37 °C da rikketsiyalar 3–6 kunda aniqlanadi, bitlarning 100% i zararlanadi, 14–16 °C da esa 6–13% [1].</w:t>
      </w:r>
    </w:p>
    <w:p>
      <w:pPr>
        <w:pStyle w:val="ListParagraph"/>
        <w:numPr>
          <w:ilvl w:val="0"/>
          <w:numId w:val="2"/>
        </w:numPr>
        <w:spacing w:after="60" w:line="276"/>
        <w:jc w:val="both"/>
      </w:pPr>
      <w:r>
        <w:rPr>
          <w:rFonts w:ascii="Times New Roman" w:cs="Times New Roman" w:eastAsia="Times New Roman" w:hAnsi="Times New Roman"/>
          <w:sz w:val="28"/>
          <w:szCs w:val="28"/>
        </w:rPr>
        <w:t xml:space="preserve">Moyillik umumiy, bolalarda katta yoshlilarga nisbatan kamroq; kasallikdan keyin immunitet qoladi, lekin rikketsiyalar organizmda saqlanib, Brill kasalligiga olib kelishi mumkin [1][2].</w:t>
      </w:r>
    </w:p>
    <w:p>
      <w:pPr>
        <w:pStyle w:val="Heading2"/>
        <w:spacing w:after="100" w:before="200"/>
      </w:pPr>
      <w:r>
        <w:rPr>
          <w:rFonts w:ascii="Times New Roman" w:cs="Times New Roman" w:eastAsia="Times New Roman" w:hAnsi="Times New Roman"/>
          <w:b/>
          <w:bCs/>
          <w:sz w:val="28"/>
          <w:szCs w:val="28"/>
        </w:rPr>
        <w:t xml:space="preserve">Epidemiologik ko'rsatkichlar</w:t>
      </w:r>
    </w:p>
    <w:p>
      <w:pPr>
        <w:pStyle w:val="ListParagraph"/>
        <w:numPr>
          <w:ilvl w:val="0"/>
          <w:numId w:val="3"/>
        </w:numPr>
        <w:spacing w:after="60" w:line="276"/>
        <w:jc w:val="both"/>
      </w:pPr>
      <w:r>
        <w:rPr>
          <w:rFonts w:ascii="Times New Roman" w:cs="Times New Roman" w:eastAsia="Times New Roman" w:hAnsi="Times New Roman"/>
          <w:sz w:val="28"/>
          <w:szCs w:val="28"/>
        </w:rPr>
        <w:t xml:space="preserve">Mavsumiylik yaqqol: qish va erta bahor – odamlar zich yashaydi, issiq kiyinadi, kam yuvinadi, bitlar ko'payadi [1]. Epidemiyalar urush, ocharchilik, tabiiy ofat va migratsiya davrlarida avj oladi («urush tifi», «ocharchilik tifi», «turma tifi»); 1917–1921 yillarda sobiq Rossiyada taxminan 3 million kishi o'lgan (Buyruqqa ilova qilingan ma'lumot)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Xavf guruhlari: uysizlar, qochoqlar, muhojirlar, qamoqxonadagilar, internat va bolalar uylari; kasbiy – vokzal xizmatchilari, hammom va sartaroshxona ishchilari (kasallanish boshqalarga nisbatan 2,5–6,5 marta yuqori), tibbiyot xodimlari [1][2].</w:t>
      </w:r>
    </w:p>
    <w:p>
      <w:pPr>
        <w:pStyle w:val="ListParagraph"/>
        <w:numPr>
          <w:ilvl w:val="0"/>
          <w:numId w:val="3"/>
        </w:numPr>
        <w:spacing w:after="60" w:line="276"/>
        <w:jc w:val="both"/>
      </w:pPr>
      <w:r>
        <w:rPr>
          <w:rFonts w:ascii="Times New Roman" w:cs="Times New Roman" w:eastAsia="Times New Roman" w:hAnsi="Times New Roman"/>
          <w:sz w:val="28"/>
          <w:szCs w:val="28"/>
        </w:rPr>
        <w:t xml:space="preserve">Dunyo bo'yicha: JSST 1957–1963 yillarda 60 dan ortiq mamlakatda 34 984 holatni qayd etgan va 1973 yildan toshmali tifni konvension kasalliklar ro'yxatidan chiqargan; hozir Afrika, Osiyo va Janubiy Amerikaning ayrim mamlakatlarida endemik uchraydi [1]. CDC epidemik tifni kam uchraydigan, bitlar bilan aloqada yuqadigan kasallik deb ta'riflaydi [4].</w:t>
      </w:r>
    </w:p>
    <w:p>
      <w:pPr>
        <w:pStyle w:val="ListParagraph"/>
        <w:numPr>
          <w:ilvl w:val="0"/>
          <w:numId w:val="3"/>
        </w:numPr>
        <w:spacing w:after="60" w:line="276"/>
        <w:jc w:val="both"/>
      </w:pPr>
      <w:r>
        <w:rPr>
          <w:rFonts w:ascii="Times New Roman" w:cs="Times New Roman" w:eastAsia="Times New Roman" w:hAnsi="Times New Roman"/>
          <w:sz w:val="28"/>
          <w:szCs w:val="28"/>
        </w:rPr>
        <w:t xml:space="preserve">O'zbekiston bo'yicha so'nggi yillardagi kasallanish ko'rsatkichlari ushbu manbalarda topilmadi (tasdiqlanmagan). Darslikda yaqinda «O'zbekistonda» qaytalama tif umuman yo'q, toshmali tif juda kam ro'yxatga olinishi qayd etilgan [1]; buyruqda esa rikketsiozlar bo'yicha laboratoriya tashxisida muammolar mavjudligi ta'kidlangan [2].</w:t>
      </w:r>
    </w:p>
    <w:p>
      <w:pPr>
        <w:pStyle w:val="Heading2"/>
        <w:spacing w:after="100" w:before="200"/>
      </w:pPr>
      <w:r>
        <w:rPr>
          <w:rFonts w:ascii="Times New Roman" w:cs="Times New Roman" w:eastAsia="Times New Roman" w:hAnsi="Times New Roman"/>
          <w:b/>
          <w:bCs/>
          <w:sz w:val="28"/>
          <w:szCs w:val="28"/>
        </w:rPr>
        <w:t xml:space="preserve">Tashxis</w:t>
      </w:r>
    </w:p>
    <w:p>
      <w:pPr>
        <w:pStyle w:val="ListParagraph"/>
        <w:numPr>
          <w:ilvl w:val="0"/>
          <w:numId w:val="4"/>
        </w:numPr>
        <w:spacing w:after="60" w:line="276"/>
        <w:jc w:val="both"/>
      </w:pPr>
      <w:r>
        <w:rPr>
          <w:rFonts w:ascii="Times New Roman" w:cs="Times New Roman" w:eastAsia="Times New Roman" w:hAnsi="Times New Roman"/>
          <w:sz w:val="28"/>
          <w:szCs w:val="28"/>
        </w:rPr>
        <w:t xml:space="preserve">Klinik: yashirin davr 10–14 kun (darslikda 14–15 kun, 7–23 kun oralig'ida), to'satdan titroq, isitma 39–40 °C, kuchli bosh og'rig'i, 5-kuni gavdaga tarqaladigan toshma, ko'z konyunktivasi qizarishi; tashxis ko'pincha klinik-epidemiologik asosda qo'yiladi [1][2].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Laboratoriya: serologik reaksiyalar – rikketsiyalar agglyutinatsiya reaksiyasi (RAR), passiv gemagglyutinatsiya (RPGA), komplementni bog'lash reaksiyasi (RSK), IFA; RSK 6–7-kundan musbat bo'ladi; antitela titrining o'sishi tashxis uchun muhim, antibiotik qabul qilish titrni kamaytiradi [1][3]. Buyruqda isitma 5 kun va undan ortiq davom etgan bemorlarni toshmali tifga RSK, RNGA, IFA, PZR bilan tekshirish talab qilingan, tekshiruv ikki marta 10–14 kun oralig'ida o'tkaziladi [2].</w:t>
      </w:r>
    </w:p>
    <w:p>
      <w:pPr>
        <w:pStyle w:val="ListParagraph"/>
        <w:numPr>
          <w:ilvl w:val="0"/>
          <w:numId w:val="4"/>
        </w:numPr>
        <w:spacing w:after="60" w:line="276"/>
        <w:jc w:val="both"/>
      </w:pPr>
      <w:r>
        <w:rPr>
          <w:rFonts w:ascii="Times New Roman" w:cs="Times New Roman" w:eastAsia="Times New Roman" w:hAnsi="Times New Roman"/>
          <w:sz w:val="28"/>
          <w:szCs w:val="28"/>
        </w:rPr>
        <w:t xml:space="preserve">Brill kasalligi: avval toshmali tif o'tkazganlik haqida ma'lumot muhim; yashirin davr o'nlab yillar bo'lishi mumkin; kasallik yengil yoki o'rtacha og'irlikda kechadi, antibiotiklar tezda ahvolni yaxshilaydi [2].</w:t>
      </w:r>
    </w:p>
    <w:p>
      <w:pPr>
        <w:pStyle w:val="Heading2"/>
        <w:spacing w:after="100" w:before="200"/>
      </w:pPr>
      <w:r>
        <w:rPr>
          <w:rFonts w:ascii="Times New Roman" w:cs="Times New Roman" w:eastAsia="Times New Roman" w:hAnsi="Times New Roman"/>
          <w:b/>
          <w:bCs/>
          <w:sz w:val="28"/>
          <w:szCs w:val="28"/>
        </w:rPr>
        <w:t xml:space="preserve">Profilaktika va epidemiyaga qarshi tadbirlar</w:t>
      </w:r>
    </w:p>
    <w:p>
      <w:pPr>
        <w:pStyle w:val="ListParagraph"/>
        <w:numPr>
          <w:ilvl w:val="0"/>
          <w:numId w:val="5"/>
        </w:numPr>
        <w:spacing w:after="60" w:line="276"/>
        <w:jc w:val="both"/>
      </w:pPr>
      <w:r>
        <w:rPr>
          <w:rFonts w:ascii="Times New Roman" w:cs="Times New Roman" w:eastAsia="Times New Roman" w:hAnsi="Times New Roman"/>
          <w:sz w:val="28"/>
          <w:szCs w:val="28"/>
        </w:rPr>
        <w:t xml:space="preserve">Epidemiologik nazoratning asosiy yo'nalishi – aholi orasida pedikulyozni nazorat qilish: uysizlar, qochoqlar, muhojirlar, qamoqxonadagilar va bolalar muassasalari (bog'cha, internat, mehribonlik uylari) muntazam tekshiriladi; ikkinchi yo'nalish – bemorlarni o'z vaqtida aniqlash: noaniq tashxisli 5 kundan ortiq isitmalagan bemorlar toshmali tifga gumon qilinib serologik tekshiriladi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Har bir pedikulyoz holati (bosh va kiyim biti) yuqumli kasalliklar uchun belgilangan tartibda ro'yxatga olinadi; pedikulyoz o'choqlari bir oy davomida kuzatiladi, har 10 kunda tekshiriladi, uch marta tekshiruvdan keyin bit topilmasa o'choq sog'lomlashtirilgan hisoblanadi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Bemor yoki gumon qilingan shaxs zudlik bilan yuqumli kasalliklar shifoxonasiga yotqiziladi; 058/u shaklida shoshilinch xabarnoma beriladi va 060/u jurnaliga yoziladi; epidemiolog 24 soat ichida o'chog'ni tekshiradi va 357/u shaklidagi karta to'ldiriladi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O'choq: bemor yashagan, ishlagan, o'qigan, davolangan va kasallanishdan 21 kun oldin bo'lgan joylar; yakuniy dezinfeksiya va dezinseksiya shifoxonaga yotqizilgandan keyin 24 soatdan kechikmay o'tkaziladi, kiyim kamerada ishlanadi, transport vositalari dezinfeksiya qilinadi. Kamera bo'lmasa kiyim 2% soda eritmasida 15 daqiqa qaynatiladi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Aloqada bo'lganlar: pedikulyoz bo'lmasa 25 kun (maksimal yashirin davr), kunlik termometriya (ertalab va kechqurun); kiyim yoki aralash pedikulyoz aniqlansa 71 kun (bit rivojlanish sikli), dastlabki 25 kun termometriya; isitma yoki toshma paydo bo'lsa darhol gospitalizatsiya; serologik tekshiruv (RSK, RNGA, IFA) ikki marta 10–14 kun oralig'ida [2]. Darslikda kuzatuv muddati 21 kun deb yozilgan – manbalar orasida farq bor; amalda buyruq tavsiyasiga amal qilinadi [1][2].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Favqulodda profilaktika: darslikda tetratsiklin qatoridagi antibiotiklar tavsiya etilgan [1]. Davolash: tetratsiklin qatoridagi antibiotiklar yoki xloramfenikol [2].</w:t>
      </w:r>
    </w:p>
    <w:p>
      <w:pPr>
        <w:pStyle w:val="ListParagraph"/>
        <w:numPr>
          <w:ilvl w:val="0"/>
          <w:numId w:val="5"/>
        </w:numPr>
        <w:spacing w:after="60" w:line="276"/>
        <w:jc w:val="both"/>
      </w:pPr>
      <w:r>
        <w:rPr>
          <w:rFonts w:ascii="Times New Roman" w:cs="Times New Roman" w:eastAsia="Times New Roman" w:hAnsi="Times New Roman"/>
          <w:sz w:val="28"/>
          <w:szCs w:val="28"/>
        </w:rPr>
        <w:t xml:space="preserve">Maxsus profilaktika: darslikda inaktivlangan E-shtamm vaksinasi 0,5 ml teri ostiga epidemik ko'rsatma bo'yicha qo'llanishi yozilgan, kuchli reaksiya berishi mumkin [1]. Hozirgi amaliyotda O'zbekistonda emlash tartibi bu manbalarda topilmadi (tasdiqlanmagan).</w:t>
      </w:r>
    </w:p>
    <w:p>
      <w:pPr>
        <w:pStyle w:val="ListParagraph"/>
        <w:numPr>
          <w:ilvl w:val="0"/>
          <w:numId w:val="5"/>
        </w:numPr>
        <w:spacing w:after="60" w:line="276"/>
        <w:jc w:val="both"/>
      </w:pPr>
      <w:r>
        <w:rPr>
          <w:rFonts w:ascii="Times New Roman" w:cs="Times New Roman" w:eastAsia="Times New Roman" w:hAnsi="Times New Roman"/>
          <w:sz w:val="28"/>
          <w:szCs w:val="28"/>
        </w:rPr>
        <w:t xml:space="preserve">Pedikulyozga qarshi: gigienik ko'nikma, hammom va kir yuvish xizmati, bosh bitida yuvish va tarash (sirka bilan), insektitsidlar; terisi kasal, 5 yoshgacha bolalar, homilador va emizikli ayollarga insektitsidlar ishlatish taqiqlanadi, ularda sanitariya ishlovi, soch kesish va taroq qo'llanadi [2].</w:t>
      </w:r>
    </w:p>
    <w:p>
      <w:pPr>
        <w:pStyle w:val="Heading2"/>
        <w:spacing w:after="100" w:before="200"/>
      </w:pPr>
      <w:r>
        <w:rPr>
          <w:rFonts w:ascii="Times New Roman" w:cs="Times New Roman" w:eastAsia="Times New Roman" w:hAnsi="Times New Roman"/>
          <w:b/>
          <w:bCs/>
          <w:sz w:val="28"/>
          <w:szCs w:val="28"/>
        </w:rPr>
        <w:t xml:space="preserve">Xulosa</w:t>
      </w:r>
    </w:p>
    <w:p>
      <w:pPr>
        <w:spacing w:after="120" w:line="276"/>
        <w:ind w:firstLine="567"/>
        <w:jc w:val="both"/>
      </w:pPr>
      <w:r>
        <w:rPr>
          <w:rFonts w:ascii="Times New Roman" w:cs="Times New Roman" w:eastAsia="Times New Roman" w:hAnsi="Times New Roman"/>
          <w:sz w:val="28"/>
          <w:szCs w:val="28"/>
        </w:rPr>
        <w:t xml:space="preserve">Epidemik toshmali tif antroponoz, bit orqali yuqadigan kasallik bo'lib, uning epidemik jarayoni ijtimoiy-maishiy sharoit, qish mavsumi va pedikulyoz bilan chambarchas bog'liq. Profilaktikaning asosi – pedikulyozni aniqlash va bartaraf etish, uzoq isitmalaydigan bemorlarni serologik tekshirish, bemorni zudlik bilan gospitalizatsiya qilish, o'choqda dezinfeksiya va dezinseksiya, aloqadagilarni 25–71 kun kuzatish. Manbalar orasida kuzatuv muddati (21 kun va 25/71 kun) va maxsus emlash bo'yicha farqlar mavjud; amaldagi milliy buyruq va yo'riqnomaga tayanish kerak.</w:t>
      </w:r>
    </w:p>
    <w:p>
      <w:pPr>
        <w:pStyle w:val="Heading2"/>
        <w:spacing w:after="100" w:before="280"/>
      </w:pPr>
      <w:r>
        <w:rPr>
          <w:rFonts w:ascii="Times New Roman" w:cs="Times New Roman" w:eastAsia="Times New Roman" w:hAnsi="Times New Roman"/>
          <w:b/>
          <w:bCs/>
          <w:sz w:val="28"/>
          <w:szCs w:val="28"/>
        </w:rPr>
        <w:t xml:space="preserve">Foydalanilgan adabiyotlar</w:t>
      </w:r>
    </w:p>
    <w:p>
      <w:pPr>
        <w:pStyle w:val="ListParagraph"/>
        <w:numPr>
          <w:ilvl w:val="0"/>
          <w:numId w:val="6"/>
        </w:numPr>
        <w:spacing w:after="80" w:line="260"/>
      </w:pPr>
      <w:r>
        <w:rPr>
          <w:rFonts w:ascii="Times New Roman" w:cs="Times New Roman" w:eastAsia="Times New Roman" w:hAnsi="Times New Roman"/>
          <w:sz w:val="28"/>
          <w:szCs w:val="28"/>
        </w:rPr>
        <w:t xml:space="preserve">Mirtazayev O.M., Zueva L.P., Matnazarova G.S. Epidemiologiya (darslik). Toshkent, 2016. 19.1-bo'lim «Toshmali tif. Brill kasalligi» (386–395-betlar). Manba: xayrullokomilov.uz/kutubxona, material № 2356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2012-yil 5-yanvardagi 6-son buyrug'i «Rikketsioz kasalliklari va pedikulyozga qarshi kurash chora-tadbirlarini takomillashtirish to'g'risida» va ilovalar (epidemik toshmali tif va Brill kasalligi o'choqlarida tadbirlar yo'riqnomasi; ilovalar matni rus tilida). Manba: xayrullokomilov.uz/kutubxona, material № 517.</w:t>
      </w:r>
    </w:p>
    <w:p>
      <w:pPr>
        <w:pStyle w:val="ListParagraph"/>
        <w:numPr>
          <w:ilvl w:val="0"/>
          <w:numId w:val="6"/>
        </w:numPr>
        <w:spacing w:after="80" w:line="260"/>
      </w:pPr>
      <w:r>
        <w:rPr>
          <w:rFonts w:ascii="Times New Roman" w:cs="Times New Roman" w:eastAsia="Times New Roman" w:hAnsi="Times New Roman"/>
          <w:sz w:val="28"/>
          <w:szCs w:val="28"/>
        </w:rPr>
        <w:t xml:space="preserve">O'zbekiston Respublikasi Sog'liqni saqlash vazirligining 177-son buyrug'iga 13-ilova: rikketsioz kasalliklarining laboratoriya tashxisi bo'yicha uslubiy ko'rsatma (sana va raqam nusxada to'ldirilmagan). Manba: xayrullokomilov.uz/kutubxona, material № 1899 (matn kirill yozuvida).</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About Epidemic Typhus. URL: https://portugues.cdc.gov/typhus/about/epidemic.html (faqat qidiruv parchasi bo'yicha tasdiqlangan, kirilgan sana: 30.10.2026).</w:t>
      </w:r>
    </w:p>
    <w:p>
      <w:pPr>
        <w:pStyle w:val="ListParagraph"/>
        <w:numPr>
          <w:ilvl w:val="0"/>
          <w:numId w:val="6"/>
        </w:numPr>
        <w:spacing w:after="80" w:line="260"/>
      </w:pPr>
      <w:r>
        <w:rPr>
          <w:rFonts w:ascii="Times New Roman" w:cs="Times New Roman" w:eastAsia="Times New Roman" w:hAnsi="Times New Roman"/>
          <w:sz w:val="28"/>
          <w:szCs w:val="28"/>
        </w:rPr>
        <w:t xml:space="preserve">Centers for Disease Control and Prevention. Clinical Overview of Epidemic Typhus. URL: https://www.cdc.gov/typhus/hcp/clinical-overview/clinical-overview-of-epidemic-typhus.html (faqat qidiruv parchasi bo'yicha tasdiqlangan, kirilgan sana: 30.10.2026).</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decimal"/>
      <w:lvlText w:val="[%1]"/>
      <w:lvlJc w:val="left"/>
      <w:pPr>
        <w:ind w:left="720" w:hanging="720"/>
      </w:pPr>
      <w:rPr>
        <w:rFonts w:ascii="Times New Roman" w:cs="Times New Roman" w:eastAsia="Times New Roman" w:hAnsi="Times New Roman"/>
        <w:sz w:val="28"/>
        <w:szCs w:val="28"/>
      </w:rPr>
    </w:lvl>
  </w:abstractNum>
  <w:abstractNum w:abstractNumId="3"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4"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5"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abstractNum w:abstractNumId="6" w15:restartNumberingAfterBreak="0">
    <w:multiLevelType w:val="hybridMultilevel"/>
    <w:lvl w:ilvl="0" w:tentative="1">
      <w:start w:val="1"/>
      <w:numFmt w:val="decimal"/>
      <w:lvlText w:val="%1)"/>
      <w:lvlJc w:val="left"/>
      <w:pPr>
        <w:ind w:left="851" w:hanging="425"/>
      </w:pPr>
      <w:rPr>
        <w:rFonts w:ascii="Times New Roman" w:cs="Times New Roman" w:eastAsia="Times New Roman" w:hAnsi="Times New Roman"/>
        <w:sz w:val="28"/>
        <w:szCs w:val="28"/>
      </w:rPr>
    </w:lvl>
  </w:abstractNum>
  <w:num w:numId="1">
    <w:abstractNumId w:val="1"/>
    <w:lvlOverride w:ilvl="0">
      <w:startOverride w:val="1"/>
    </w:lvlOverride>
  </w:num>
  <w:num w:numId="2">
    <w:abstractNumId w:val="3"/>
    <w:lvlOverride w:ilvl="0">
      <w:startOverride w:val="1"/>
    </w:lvlOverride>
  </w:num>
  <w:num w:numId="3">
    <w:abstractNumId w:val="4"/>
    <w:lvlOverride w:ilvl="0">
      <w:startOverride w:val="1"/>
    </w:lvlOverride>
  </w:num>
  <w:num w:numId="4">
    <w:abstractNumId w:val="5"/>
    <w:lvlOverride w:ilvl="0">
      <w:startOverride w:val="1"/>
    </w:lvlOverride>
  </w:num>
  <w:num w:numId="5">
    <w:abstractNumId w:val="6"/>
    <w:lvlOverride w:ilvl="0">
      <w:startOverride w:val="1"/>
    </w:lvlOverride>
  </w:num>
  <w:num w:numId="6">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defaultTabStop w:val="720"/>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paragraph" w:styleId="Caption">
    <w:name w:val="caption"/>
    <w:basedOn w:val="Normal"/>
    <w:next w:val="Normal"/>
    <w:uiPriority w:val="35"/>
    <w:semiHidden/>
    <w:unhideWhenUsed/>
    <w:qFormat/>
    <w:pPr>
      <w:spacing w:after="200"/>
    </w:pPr>
    <w:rPr>
      <w:i/>
      <w:iCs/>
      <w:color w:val="44546A" w:themeColor="dark2"/>
      <w:sz w:val="18"/>
      <w:szCs w:val="18"/>
    </w:rPr>
  </w:style>
  <w:style w:type="paragraph" w:styleId="Bibliography">
    <w:name w:val="Bibliography"/>
    <w:basedOn w:val="Normal"/>
    <w:next w:val="Normal"/>
    <w:uiPriority w:val="37"/>
    <w:unhideWhenUsed/>
  </w:style>
  <w:style w:type="paragraph" w:styleId="TOC1">
    <w:name w:val="toc 1"/>
    <w:basedOn w:val="Normal"/>
    <w:next w:val="Normal"/>
    <w:uiPriority w:val="39"/>
    <w:semiHidden/>
    <w:unhideWhenUsed/>
    <w:pPr>
      <w:spacing w:after="100"/>
    </w:pPr>
  </w:style>
  <w:style w:type="paragraph" w:styleId="TOC2">
    <w:name w:val="toc 2"/>
    <w:basedOn w:val="Normal"/>
    <w:next w:val="Normal"/>
    <w:uiPriority w:val="39"/>
    <w:semiHidden/>
    <w:unhideWhenUsed/>
    <w:pPr>
      <w:spacing w:after="100"/>
      <w:ind w:left="280"/>
    </w:pPr>
  </w:style>
  <w:style w:type="paragraph" w:styleId="TOC3">
    <w:name w:val="toc 3"/>
    <w:basedOn w:val="Normal"/>
    <w:next w:val="Normal"/>
    <w:uiPriority w:val="39"/>
    <w:semiHidden/>
    <w:unhideWhenUsed/>
    <w:pPr>
      <w:spacing w:after="100"/>
      <w:ind w:left="560"/>
    </w:pPr>
  </w:style>
  <w:style w:type="paragraph" w:styleId="TOC4">
    <w:name w:val="toc 4"/>
    <w:basedOn w:val="Normal"/>
    <w:next w:val="Normal"/>
    <w:uiPriority w:val="39"/>
    <w:semiHidden/>
    <w:unhideWhenUsed/>
    <w:pPr>
      <w:spacing w:after="100"/>
      <w:ind w:left="840"/>
    </w:pPr>
  </w:style>
  <w:style w:type="paragraph" w:styleId="TOC5">
    <w:name w:val="toc 5"/>
    <w:basedOn w:val="Normal"/>
    <w:next w:val="Normal"/>
    <w:uiPriority w:val="39"/>
    <w:semiHidden/>
    <w:unhideWhenUsed/>
    <w:pPr>
      <w:spacing w:after="100"/>
      <w:ind w:left="1120"/>
    </w:pPr>
  </w:style>
  <w:style w:type="paragraph" w:styleId="TOC6">
    <w:name w:val="toc 6"/>
    <w:basedOn w:val="Normal"/>
    <w:next w:val="Normal"/>
    <w:uiPriority w:val="39"/>
    <w:semiHidden/>
    <w:unhideWhenUsed/>
    <w:pPr>
      <w:spacing w:after="100"/>
      <w:ind w:left="1400"/>
    </w:pPr>
  </w:style>
  <w:style w:type="paragraph" w:styleId="TOC7">
    <w:name w:val="toc 7"/>
    <w:basedOn w:val="Normal"/>
    <w:next w:val="Normal"/>
    <w:uiPriority w:val="39"/>
    <w:semiHidden/>
    <w:unhideWhenUsed/>
    <w:pPr>
      <w:spacing w:after="100"/>
      <w:ind w:left="1680"/>
    </w:pPr>
  </w:style>
  <w:style w:type="paragraph" w:styleId="TOC8">
    <w:name w:val="toc 8"/>
    <w:basedOn w:val="Normal"/>
    <w:next w:val="Normal"/>
    <w:uiPriority w:val="39"/>
    <w:semiHidden/>
    <w:unhideWhenUsed/>
    <w:pPr>
      <w:spacing w:after="100"/>
      <w:ind w:left="1960"/>
    </w:pPr>
  </w:style>
  <w:style w:type="paragraph" w:styleId="TOC9">
    <w:name w:val="toc 9"/>
    <w:basedOn w:val="Normal"/>
    <w:next w:val="Normal"/>
    <w:uiPriority w:val="39"/>
    <w:semiHidden/>
    <w:unhideWhenUsed/>
    <w:pPr>
      <w:spacing w:after="100"/>
      <w:ind w:left="2240"/>
    </w:pPr>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character" w:styleId="LineNumber">
    <w:name w:val="line number"/>
    <w:basedOn w:val="DefaultParagraphFont"/>
    <w:uiPriority w:val="99"/>
    <w:semiHidden/>
    <w:unhideWhenUsed/>
  </w:style>
  <w:style w:type="paragraph" w:styleId="Heading1">
    <w:name w:val="Heading 1"/>
    <w:basedOn w:val="Normal"/>
    <w:next w:val="Normal"/>
    <w:qFormat/>
    <w:pPr>
      <w:spacing w:after="240" w:before="0"/>
      <w:outlineLvl w:val="0"/>
    </w:pPr>
    <w:rPr>
      <w:rFonts w:ascii="Times New Roman" w:cs="Times New Roman" w:eastAsia="Times New Roman" w:hAnsi="Times New Roman"/>
      <w:b/>
      <w:bCs/>
      <w:color w:val="000000"/>
      <w:sz w:val="30"/>
      <w:szCs w:val="30"/>
    </w:rPr>
  </w:style>
  <w:style w:type="paragraph" w:styleId="Heading2">
    <w:name w:val="Heading 2"/>
    <w:basedOn w:val="Normal"/>
    <w:next w:val="Normal"/>
    <w:qFormat/>
    <w:pPr>
      <w:spacing w:after="100" w:before="200"/>
      <w:outlineLvl w:val="1"/>
    </w:pPr>
    <w:rPr>
      <w:rFonts w:ascii="Times New Roman" w:cs="Times New Roman" w:eastAsia="Times New Roman" w:hAnsi="Times New Roman"/>
      <w:b/>
      <w:bCs/>
      <w:color w:val="000000"/>
      <w:sz w:val="28"/>
      <w:szCs w:val="28"/>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120. Toshmali tif epidemiologiyasi va profilaktikasi</dc:title>
  <dc:creator>Epidemiologiya</dc:creator>
  <cp:lastModifiedBy>Un-named</cp:lastModifiedBy>
  <cp:revision>1</cp:revision>
  <dcterms:created xsi:type="dcterms:W3CDTF">2026-10-30T12:14:46.138Z</dcterms:created>
  <dcterms:modified xsi:type="dcterms:W3CDTF">2026-10-30T12:14:46.138Z</dcterms:modified>
</cp:coreProperties>
</file>

<file path=docProps/custom.xml><?xml version="1.0" encoding="utf-8"?>
<Properties xmlns="http://schemas.openxmlformats.org/officeDocument/2006/custom-properties" xmlns:vt="http://schemas.openxmlformats.org/officeDocument/2006/docPropsVTypes"/>
</file>